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Sustainable Foodservice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Sustainable &amp; Biodegradable Packaging (Packaging)  </w:t>
      </w:r>
    </w:p>
    <w:p>
      <w:pPr/>
      <w:r>
        <w:rPr>
          <w:rFonts w:ascii="Helvetica Light" w:hAnsi="Helvetica Light" w:cs="Helvetica Light"/>
          <w:sz w:val="24"/>
          <w:sz-cs w:val="24"/>
        </w:rPr>
        <w:t xml:space="preserve">&gt; **Source:** [https://www.mordorintelligence.com/industry-reports/sustainable-foodservice-packaging-market](https://www.mordorintelligence.com/industry-reports/sustainable-foodservice-packaging-market)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69.7 billion |</w:t>
      </w:r>
    </w:p>
    <w:p>
      <w:pPr/>
      <w:r>
        <w:rPr>
          <w:rFonts w:ascii="Helvetica Light" w:hAnsi="Helvetica Light" w:cs="Helvetica Light"/>
          <w:sz w:val="24"/>
          <w:sz-cs w:val="24"/>
        </w:rPr>
        <w:t xml:space="preserve">| **Projected Forecast (2031)** | USD 69.7 billion |</w:t>
      </w:r>
    </w:p>
    <w:p>
      <w:pPr/>
      <w:r>
        <w:rPr>
          <w:rFonts w:ascii="Helvetica Light" w:hAnsi="Helvetica Light" w:cs="Helvetica Light"/>
          <w:sz w:val="24"/>
          <w:sz-cs w:val="24"/>
        </w:rPr>
        <w:t xml:space="preserve">| **Growth Rate (CAGR)** | 6.04 %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Sustainable Foodservice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 Market Share by Material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 Market Share by Packaging Format,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69.7 Billion | </w:t>
      </w:r>
    </w:p>
    <w:p>
      <w:pPr/>
      <w:r>
        <w:rPr>
          <w:rFonts w:ascii="Helvetica Light" w:hAnsi="Helvetica Light" w:cs="Helvetica Light"/>
          <w:sz w:val="24"/>
          <w:sz-cs w:val="24"/>
        </w:rPr>
        <w:t xml:space="preserve">Market Size (2031) | USD 93.43 Billion | </w:t>
      </w:r>
    </w:p>
    <w:p>
      <w:pPr/>
      <w:r>
        <w:rPr>
          <w:rFonts w:ascii="Helvetica Light" w:hAnsi="Helvetica Light" w:cs="Helvetica Light"/>
          <w:sz w:val="24"/>
          <w:sz-cs w:val="24"/>
        </w:rPr>
        <w:t xml:space="preserve">Growth Rate (2026 - 2031) | 6.04 %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Market Analysis by Mordor IntelligenceThe sustainable foodservice packaging market size is expected to grow from USD 65.73 billion in 2025 to USD 69.7 billion in 2026 and is forecast to reach USD 93.43 billion by 2031 at 6.04% CAGR over 2026-2031. Regulatory bans on single-use plastics, corporate ESG mandates, and breakthroughs in bio-based barrier coatings continue to steer demand away from conventional substrates toward renewable, recyclable, and compostable solutions. Intensifying consolidation exemplified by the pending all-stock combination of Amcor and Berry Global signals a scaling race aimed at lowering the still-high price premium of eco-friendly formats through R&amp;D synergies and purchasing leverage. Recycled paper and board retained the highest sustainable foodservice packaging market share at 41.24% in 2024, while polyhydroxyalkanoates (PHA) led growth at an 8.34% CAGR because of their certified marine biodegradability. Regionally, Europe accounted for 38.34% of 2024 revenue thanks to the EU Packaging and Packaging Waste Regulation, yet Asia-Pacific delivered the swiftest expansion at 8.32% CAGR on the back of composting-infrastructure build-outs and standardized sourcing rules among multinational foodservice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material type, recycled paper and board captured 40.78% of sustainable foodservice packaging market share in 2025, whereas PHA is forecast to scale at an 8.21% CAGR through 2031.</w:t>
      </w:r>
    </w:p>
    <w:p>
      <w:pPr/>
      <w:r>
        <w:rPr>
          <w:rFonts w:ascii="Helvetica Light" w:hAnsi="Helvetica Light" w:cs="Helvetica Light"/>
          <w:sz w:val="24"/>
          <w:sz-cs w:val="24"/>
        </w:rPr>
        <w:t xml:space="preserve">* By product type, trays and bowls commanded 37.85% of the sustainable foodservice packaging market size in 2025, with cups and lids projected to grow at 7.5% CAGR to 2031.</w:t>
      </w:r>
    </w:p>
    <w:p>
      <w:pPr/>
      <w:r>
        <w:rPr>
          <w:rFonts w:ascii="Helvetica Light" w:hAnsi="Helvetica Light" w:cs="Helvetica Light"/>
          <w:sz w:val="24"/>
          <w:sz-cs w:val="24"/>
        </w:rPr>
        <w:t xml:space="preserve">* By packaging format, rigid designs led with a 59.74% revenue share in 2025, while flexible formats are expected to post a 7.66% CAGR between 2026-2031.</w:t>
      </w:r>
    </w:p>
    <w:p>
      <w:pPr/>
      <w:r>
        <w:rPr>
          <w:rFonts w:ascii="Helvetica Light" w:hAnsi="Helvetica Light" w:cs="Helvetica Light"/>
          <w:sz w:val="24"/>
          <w:sz-cs w:val="24"/>
        </w:rPr>
        <w:t xml:space="preserve">* By end user, quick-service restaurants held 46.88% of 2025 demand, and hospitality and leisure is set to advance at a 6.98% CAGR through 2031.</w:t>
      </w:r>
    </w:p>
    <w:p>
      <w:pPr/>
      <w:r>
        <w:rPr>
          <w:rFonts w:ascii="Helvetica Light" w:hAnsi="Helvetica Light" w:cs="Helvetica Light"/>
          <w:sz w:val="24"/>
          <w:sz-cs w:val="24"/>
        </w:rPr>
        <w:t xml:space="preserve">* By geography, Europe maintained a 37.92% revenue lead in 2025, and Asia-Pacific is anticipated to accelerate at an 8.18% CAGR during the forecast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Sustainable Foodservice Packaging Market*Driver | (~) % Impact on CAGR Forecast | Geographic Relevance | Impact Timeline | </w:t>
      </w:r>
    </w:p>
    <w:p>
      <w:pPr/>
      <w:r>
        <w:rPr>
          <w:rFonts w:ascii="Helvetica Light" w:hAnsi="Helvetica Light" w:cs="Helvetica Light"/>
          <w:sz w:val="24"/>
          <w:sz-cs w:val="24"/>
        </w:rPr>
        <w:t xml:space="preserve">Surge in online food-ordering and delivery platforms | +1.8% | Global, with early gains in North America, Europe, APAC core | Medium term (2-4 years) | </w:t>
      </w:r>
    </w:p>
    <w:p>
      <w:pPr/>
      <w:r>
        <w:rPr>
          <w:rFonts w:ascii="Helvetica Light" w:hAnsi="Helvetica Light" w:cs="Helvetica Light"/>
          <w:sz w:val="24"/>
          <w:sz-cs w:val="24"/>
        </w:rPr>
        <w:t xml:space="preserve">Stringent bans on single-use plastics and styro-foam | +2.1% | EU, North America, spill-over to APAC | Short term (≤ 2 years) | </w:t>
      </w:r>
    </w:p>
    <w:p>
      <w:pPr/>
      <w:r>
        <w:rPr>
          <w:rFonts w:ascii="Helvetica Light" w:hAnsi="Helvetica Light" w:cs="Helvetica Light"/>
          <w:sz w:val="24"/>
          <w:sz-cs w:val="24"/>
        </w:rPr>
        <w:t xml:space="preserve">Corporate ESG commitments accelerating sustainable procurement | +1.5% | Global, concentrated in North America and EU | Medium term (2-4 years) | </w:t>
      </w:r>
    </w:p>
    <w:p>
      <w:pPr/>
      <w:r>
        <w:rPr>
          <w:rFonts w:ascii="Helvetica Light" w:hAnsi="Helvetica Light" w:cs="Helvetica Light"/>
          <w:sz w:val="24"/>
          <w:sz-cs w:val="24"/>
        </w:rPr>
        <w:t xml:space="preserve">Advances in bio-based barrier coatings improving shelf-life | +0.9% | Global | Long term (≥ 4 years) | </w:t>
      </w:r>
    </w:p>
    <w:p>
      <w:pPr/>
      <w:r>
        <w:rPr>
          <w:rFonts w:ascii="Helvetica Light" w:hAnsi="Helvetica Light" w:cs="Helvetica Light"/>
          <w:sz w:val="24"/>
          <w:sz-cs w:val="24"/>
        </w:rPr>
        <w:t xml:space="preserve">Expansion of municipal composting infrastructure in tier-1 cities | +0.7% | North America, EU, APAC core cities | Medium term (2-4 years) | </w:t>
      </w:r>
    </w:p>
    <w:p>
      <w:pPr/>
      <w:r>
        <w:rPr>
          <w:rFonts w:ascii="Helvetica Light" w:hAnsi="Helvetica Light" w:cs="Helvetica Light"/>
          <w:sz w:val="24"/>
          <w:sz-cs w:val="24"/>
        </w:rPr>
        <w:t xml:space="preserve">Blockchain-enabled traceability for recycled content verification | +0.3% | Global, early adoption in EU,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Amcor’s agreement to merge with Berry Global will create a USD 24 billion revenue powerhouse operating 400 plants in more than 140 countries, targeting USD 650 million in annual synergies and a combined R&amp;D budget of USD 180 million earmarked for sustainable foodservice packaging market innovation. Dart Container’s licensing of PulPac’s dry-molded fiber technology highlights a race to deploy high-speed, low-carbon assets that slash water usage by up to 90% relative to wet molding. [1]Dart Container, “Dry-Molded Fiber Line Announcement,” dartcontainer.comConcurrently, Metsä Group joined forces with Amcor to commercialize Muoto, a three-dimensional molded-fiber tray incorporating high-barrier film that achieves over 80% recyclability and aims for full compostability by late-2025.[2]Packaging Insights, “Metsä-Amcor Muoto Launch,” packaginginsights.com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Huhtamaki completed a Northern Ireland capacity expansion for fiber lids in October 2024, a strategic hedge that positions the firm to satisfy surging drink-on-the-go needs stemming from the U.K.’s plastic-tax escalation.[3]Huhtamaki, “Fiber-Lid Capacity Expansion,” huhtamaki.com OxBarrier’s September 2025 license program for oxygen-scavenging coffee capsules exemplifies IP-driven revenue diversification and underscores a trend toward specialty applications inside the sustainable foodservice packaging market. Competitive intensity centers on the ability to furnish PFAS-free barrier chemistries, verified recycled-content traceability, and price-competitive PHA formulations while maintaining global supply continuity.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Sustainable Foodservice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Mondi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Sealed Air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Tetra Pak International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Huhtamaki oyj</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packaging used by foodservice operators that is designed to reduce environmental impact, mainly through recycled content, fiber based formats, compostable materials, or improved end of life outcomes. Values are captured as revenues generated from selling these packaging products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does not count durable foodservice equipment, bulk transport packaging, or non packaging foodservice supplies such as napkins and cleaning consumables.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Type* Recycled Paper and Board</w:t>
      </w:r>
    </w:p>
    <w:p>
      <w:pPr/>
      <w:r>
        <w:rPr>
          <w:rFonts w:ascii="Helvetica Light" w:hAnsi="Helvetica Light" w:cs="Helvetica Light"/>
          <w:sz w:val="24"/>
          <w:sz-cs w:val="24"/>
        </w:rPr>
        <w:t xml:space="preserve">* Bagasse and Other Agro-fibers</w:t>
      </w:r>
    </w:p>
    <w:p>
      <w:pPr/>
      <w:r>
        <w:rPr>
          <w:rFonts w:ascii="Helvetica Light" w:hAnsi="Helvetica Light" w:cs="Helvetica Light"/>
          <w:sz w:val="24"/>
          <w:sz-cs w:val="24"/>
        </w:rPr>
        <w:t xml:space="preserve">* Polylactic Acid (PLA)</w:t>
      </w:r>
    </w:p>
    <w:p>
      <w:pPr/>
      <w:r>
        <w:rPr>
          <w:rFonts w:ascii="Helvetica Light" w:hAnsi="Helvetica Light" w:cs="Helvetica Light"/>
          <w:sz w:val="24"/>
          <w:sz-cs w:val="24"/>
        </w:rPr>
        <w:t xml:space="preserve">* Polyhydroxyalkanoates (PHA)</w:t>
      </w:r>
    </w:p>
    <w:p>
      <w:pPr/>
      <w:r>
        <w:rPr>
          <w:rFonts w:ascii="Helvetica Light" w:hAnsi="Helvetica Light" w:cs="Helvetica Light"/>
          <w:sz w:val="24"/>
          <w:sz-cs w:val="24"/>
        </w:rPr>
        <w:t xml:space="preserve">* Recycled PET and rPET Blends</w:t>
      </w:r>
    </w:p>
    <w:p>
      <w:pPr/>
      <w:r>
        <w:rPr>
          <w:rFonts w:ascii="Helvetica Light" w:hAnsi="Helvetica Light" w:cs="Helvetica Light"/>
          <w:sz w:val="24"/>
          <w:sz-cs w:val="24"/>
        </w:rPr>
        <w:t xml:space="preserve">* Molded Fiber Pulp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Corrugated Boxes and Cartons</w:t>
      </w:r>
    </w:p>
    <w:p>
      <w:pPr/>
      <w:r>
        <w:rPr>
          <w:rFonts w:ascii="Helvetica Light" w:hAnsi="Helvetica Light" w:cs="Helvetica Light"/>
          <w:sz w:val="24"/>
          <w:sz-cs w:val="24"/>
        </w:rPr>
        <w:t xml:space="preserve">* Trays and Bowls</w:t>
      </w:r>
    </w:p>
    <w:p>
      <w:pPr/>
      <w:r>
        <w:rPr>
          <w:rFonts w:ascii="Helvetica Light" w:hAnsi="Helvetica Light" w:cs="Helvetica Light"/>
          <w:sz w:val="24"/>
          <w:sz-cs w:val="24"/>
        </w:rPr>
        <w:t xml:space="preserve">* Clamshells</w:t>
      </w:r>
    </w:p>
    <w:p>
      <w:pPr/>
      <w:r>
        <w:rPr>
          <w:rFonts w:ascii="Helvetica Light" w:hAnsi="Helvetica Light" w:cs="Helvetica Light"/>
          <w:sz w:val="24"/>
          <w:sz-cs w:val="24"/>
        </w:rPr>
        <w:t xml:space="preserve">* Cups and Lids</w:t>
      </w:r>
    </w:p>
    <w:p>
      <w:pPr/>
      <w:r>
        <w:rPr>
          <w:rFonts w:ascii="Helvetica Light" w:hAnsi="Helvetica Light" w:cs="Helvetica Light"/>
          <w:sz w:val="24"/>
          <w:sz-cs w:val="24"/>
        </w:rPr>
        <w:t xml:space="preserve">* Pouches and Sachets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Format* Rigid</w:t>
      </w:r>
    </w:p>
    <w:p>
      <w:pPr/>
      <w:r>
        <w:rPr>
          <w:rFonts w:ascii="Helvetica Light" w:hAnsi="Helvetica Light" w:cs="Helvetica Light"/>
          <w:sz w:val="24"/>
          <w:sz-cs w:val="24"/>
        </w:rPr>
        <w:t xml:space="preserve">* Flexible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Quick Service Restaurants (QSR)</w:t>
      </w:r>
    </w:p>
    <w:p>
      <w:pPr/>
      <w:r>
        <w:rPr>
          <w:rFonts w:ascii="Helvetica Light" w:hAnsi="Helvetica Light" w:cs="Helvetica Light"/>
          <w:sz w:val="24"/>
          <w:sz-cs w:val="24"/>
        </w:rPr>
        <w:t xml:space="preserve">* Full-Service Restaurants (FSR)</w:t>
      </w:r>
    </w:p>
    <w:p>
      <w:pPr/>
      <w:r>
        <w:rPr>
          <w:rFonts w:ascii="Helvetica Light" w:hAnsi="Helvetica Light" w:cs="Helvetica Light"/>
          <w:sz w:val="24"/>
          <w:sz-cs w:val="24"/>
        </w:rPr>
        <w:t xml:space="preserve">* Institutional Catering</w:t>
      </w:r>
    </w:p>
    <w:p>
      <w:pPr/>
      <w:r>
        <w:rPr>
          <w:rFonts w:ascii="Helvetica Light" w:hAnsi="Helvetica Light" w:cs="Helvetica Light"/>
          <w:sz w:val="24"/>
          <w:sz-cs w:val="24"/>
        </w:rPr>
        <w:t xml:space="preserve">* Hospitality and Leisure</w:t>
      </w:r>
    </w:p>
    <w:p>
      <w:pPr/>
      <w:r>
        <w:rPr>
          <w:rFonts w:ascii="Helvetica Light" w:hAnsi="Helvetica Light" w:cs="Helvetica Light"/>
          <w:sz w:val="24"/>
          <w:sz-cs w:val="24"/>
        </w:rPr>
        <w:t xml:space="preserve">* Other End Users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Kenya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Sustainable Foodservice Packaging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Sustainable Foodservice Packaging Market size is worth USD 69.7 billion in 2026, growing at an 6.04% CAGR and is forecast to hit USD 93.43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value of sustainable foodservice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69.7 billion in 2026 and is expected to reach USD 93.43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leads in adoption across restaurants and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Recycled paper and board currently dominates with a 40.78% market share in 2025 because of cost competitiveness and regulatory support.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Cups and lids are projected to grow at a 7.5% CAGR through 2031, driven by the boom in cold beverages and coffee culture.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corporate ESG goals influencing procurement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Hotel chains and QSRs now require renewable or recycled inputs, pushing suppliers to scale fiber-based and bio-polymer lines and adopt traceability tools.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log the highest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will post the fastest expansion at 8.18% CAGR due to new composting infrastructure and anti-plastic regulations.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cost hurdles for switching to eco-friendly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Price premiums of 15-40% over conventional plastics remain the chief barrier, though industry consolidation and technological advances are narrowing the gap.</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