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Technical Ceramics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[https://www.mordorintelligence.com/industry-reports/technical-ceramics-market](https://www.mordorintelligence.com/industry-reports/technical-ceramics-market)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10.09 billion |</w:t>
      </w:r>
    </w:p>
    <w:p>
      <w:pPr/>
      <w:r>
        <w:rPr>
          <w:rFonts w:ascii="Helvetica Light" w:hAnsi="Helvetica Light" w:cs="Helvetica Light"/>
          <w:sz w:val="24"/>
          <w:sz-cs w:val="24"/>
        </w:rPr>
        <w:t xml:space="preserve">| **Projected Forecast (2031)** | USD 10.09 billion |</w:t>
      </w:r>
    </w:p>
    <w:p>
      <w:pPr/>
      <w:r>
        <w:rPr>
          <w:rFonts w:ascii="Helvetica Light" w:hAnsi="Helvetica Light" w:cs="Helvetica Light"/>
          <w:sz w:val="24"/>
          <w:sz-cs w:val="24"/>
        </w:rPr>
        <w:t xml:space="preserve">| **Growth Rate (CAGR)** | 7.58 %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Technical Ceramics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Share by Key Application,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10.09 Billion | </w:t>
      </w:r>
    </w:p>
    <w:p>
      <w:pPr/>
      <w:r>
        <w:rPr>
          <w:rFonts w:ascii="Helvetica Light" w:hAnsi="Helvetica Light" w:cs="Helvetica Light"/>
          <w:sz w:val="24"/>
          <w:sz-cs w:val="24"/>
        </w:rPr>
        <w:t xml:space="preserve">Market Size (2031) | USD 14.54 Billion | </w:t>
      </w:r>
    </w:p>
    <w:p>
      <w:pPr/>
      <w:r>
        <w:rPr>
          <w:rFonts w:ascii="Helvetica Light" w:hAnsi="Helvetica Light" w:cs="Helvetica Light"/>
          <w:sz w:val="24"/>
          <w:sz-cs w:val="24"/>
        </w:rPr>
        <w:t xml:space="preserve">Growth Rate (2026 - 2031) | 7.58 %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Market Analysis by Mordor IntelligenceTechnical Ceramics Market size in 2026 is estimated at USD 10.09 billion, growing from 2025 value of USD 9.38 billion with 2031 projections showing USD 14.54 billion, growing at 7.58% CAGR over 2026-2031. Demand is clustering around semiconductor substrates, electric-vehicle (EV) thermal control parts, and biocompatible implants, where failure tolerance is virtually zero and material science is a strategic differentiator. Rising fab construction across China, Japan, and South Korea is lifting consumption of aluminum nitride and silicon carbide packages, while 800 V EV drive-train architectures force automakers to specify ceramic heat spreaders that can dissipate more than 200 W/mK without compromising electrical insulation. Supply chains remain vulnerable to critical-mineral concentration, yet leading producers are countering with capacity additions in lower-risk jurisdictions and tighter recycling loops that reduce virgin material exposure. Monolithic formulations still dominate volume, but ceramic-matrix composites are accelerating fastest as aerospace and defense primes pay premiums for lighter, hotter-capable components that cut mass and raise fuel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monolithic ceramics held 46.10% of the technical ceramics market share in 2025, while ceramic matrix composites are poised for the quickest expansion at an 8.84% CAGR through 2031. </w:t>
      </w:r>
    </w:p>
    <w:p>
      <w:pPr/>
      <w:r>
        <w:rPr>
          <w:rFonts w:ascii="Helvetica Light" w:hAnsi="Helvetica Light" w:cs="Helvetica Light"/>
          <w:sz w:val="24"/>
          <w:sz-cs w:val="24"/>
        </w:rPr>
        <w:t xml:space="preserve">* By material class, oxide ceramics captured 62.80% revenue in 2025; non-oxide variants are projected to register a 7.76% CAGR during 2026-2031. </w:t>
      </w:r>
    </w:p>
    <w:p>
      <w:pPr/>
      <w:r>
        <w:rPr>
          <w:rFonts w:ascii="Helvetica Light" w:hAnsi="Helvetica Light" w:cs="Helvetica Light"/>
          <w:sz w:val="24"/>
          <w:sz-cs w:val="24"/>
        </w:rPr>
        <w:t xml:space="preserve">* By end-user industry, automotive accounted for 35.60% of the technical ceramics market size in 2025, whereas electrical and electronics is slated to grow fastest at 9.29% annually to 2031. </w:t>
      </w:r>
    </w:p>
    <w:p>
      <w:pPr/>
      <w:r>
        <w:rPr>
          <w:rFonts w:ascii="Helvetica Light" w:hAnsi="Helvetica Light" w:cs="Helvetica Light"/>
          <w:sz w:val="24"/>
          <w:sz-cs w:val="24"/>
        </w:rPr>
        <w:t xml:space="preserve">* By key application, insulators and substrates secured 54.20% share of the technical ceramics market size in 2025; wear-resistant parts and bearings should climb at an 8.11% CAGR over the forecast window. </w:t>
      </w:r>
    </w:p>
    <w:p>
      <w:pPr/>
      <w:r>
        <w:rPr>
          <w:rFonts w:ascii="Helvetica Light" w:hAnsi="Helvetica Light" w:cs="Helvetica Light"/>
          <w:sz w:val="24"/>
          <w:sz-cs w:val="24"/>
        </w:rPr>
        <w:t xml:space="preserve">* By region, Asia Pacific dominated with 43.40% of the 2025 total and is forecast to compound at 7.84%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Technical Ceramics Market*Driver | (~) % Impact on CAGR Forecast | Geographic Relevance | Impact Timeline | </w:t>
      </w:r>
    </w:p>
    <w:p>
      <w:pPr/>
      <w:r>
        <w:rPr>
          <w:rFonts w:ascii="Helvetica Light" w:hAnsi="Helvetica Light" w:cs="Helvetica Light"/>
          <w:sz w:val="24"/>
          <w:sz-cs w:val="24"/>
        </w:rPr>
        <w:t xml:space="preserve">Expanding semiconductor &amp; consumer-electronics output in Asia Pacific | +2.10% | Asia Pacific core, spill-over to North America | Medium term (2-4 years) | </w:t>
      </w:r>
    </w:p>
    <w:p>
      <w:pPr/>
      <w:r>
        <w:rPr>
          <w:rFonts w:ascii="Helvetica Light" w:hAnsi="Helvetica Light" w:cs="Helvetica Light"/>
          <w:sz w:val="24"/>
          <w:sz-cs w:val="24"/>
        </w:rPr>
        <w:t xml:space="preserve">EV power-train thermal-management needs | +1.80% | Global, with concentration in China, Europe, North America | Short term (≤ 2 years) | </w:t>
      </w:r>
    </w:p>
    <w:p>
      <w:pPr/>
      <w:r>
        <w:rPr>
          <w:rFonts w:ascii="Helvetica Light" w:hAnsi="Helvetica Light" w:cs="Helvetica Light"/>
          <w:sz w:val="24"/>
          <w:sz-cs w:val="24"/>
        </w:rPr>
        <w:t xml:space="preserve">Rising use in high-value medical implants &amp; devices | +1.40% | North America &amp; EU, expanding to Asia Pacific | Long term (≥ 4 years) | </w:t>
      </w:r>
    </w:p>
    <w:p>
      <w:pPr/>
      <w:r>
        <w:rPr>
          <w:rFonts w:ascii="Helvetica Light" w:hAnsi="Helvetica Light" w:cs="Helvetica Light"/>
          <w:sz w:val="24"/>
          <w:sz-cs w:val="24"/>
        </w:rPr>
        <w:t xml:space="preserve">Hydrogen-electrolyser stack components | +1.20% | Europe core, expanding globally | Long term (≥ 4 years) | </w:t>
      </w:r>
    </w:p>
    <w:p>
      <w:pPr/>
      <w:r>
        <w:rPr>
          <w:rFonts w:ascii="Helvetica Light" w:hAnsi="Helvetica Light" w:cs="Helvetica Light"/>
          <w:sz w:val="24"/>
          <w:sz-cs w:val="24"/>
        </w:rPr>
        <w:t xml:space="preserve">In-space manufacturing &amp; satellite hardware | +0.90% | North America &amp; Europe, emerging in Asia 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industry’s technical barriers and protracted customer qualification cycles establish low competitive intensity. The top five suppliers hold roughly 28% combined revenue, underscoring fragmentation even as scale confers cost leverage. Kyocera, CeramTec, and Saint-Gobain field vertically integrated value chains spanning powder preparation through precision grinding, enabling rapid iteration of customer-specific compositions. Medium-tier players focus on narrow application lanes such as aerospace carbon-silicon-carbon composites or dental zirconia blanks, relying on intellectual-property portfolios and exclusive supply contracts to secure margins. Contract lengths often exceed five years in semiconductor and medical segments because design audits and regulatory filings are expensive and time-consuming.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Strategically, companies are tilting toward forward integration, embedding design-for-manufacture engineers within customer R&amp;D teams to lock in early-stage specifications. Patent filings in flash sintering, additive manufacturing, and oxide-dispersion-strengthened composites rose 12% year over year in 2025, signaling above-average innovation momentum in processing technology. Mergers remain selective; large conglomerates prefer minority stakes in start-ups working on printable ceramic pastes rather than full acquisitions, minimizing integration risk while retaining optionality. Cost inflation in rare-earth feedstocks is also accelerating off-take agreements with mining companies, ensuring direct access to yttria and scandia flows outside Chinese jurisdiction.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policy is shaping competition as subsidies for domestic semiconductor supply chains now tie chip-fabrication grants to local substrate sourcing. This stipulation benefits Japan, the United States, and Germany, where established ceramic furnaces can meet purity benchmarks without months of cross-border shipping delays. Conversely, producers heavily exposed to commodity monolithics face margin compression as metal-based substitutes close the cost-performance gap in non-critical applications. Overall, the technical ceramics market rewards sustained R&amp;D outlays and intimate customer partnerships over scale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Technical Ceramics Industry Leaders*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CeramTec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CoorsTek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Kyocera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Saint-Gobain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defined as the revenue generated from engineered ceramic materials and components that are selected mainly for performance in demanding industrial and high-temperature uses, and then supplied as parts, coatings, or finished ceramic items.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Traditional clay-based construction ceramics, tableware, and decorative ceramics are excluded from this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Monolithic Ceramics</w:t>
      </w:r>
    </w:p>
    <w:p>
      <w:pPr/>
      <w:r>
        <w:rPr>
          <w:rFonts w:ascii="Helvetica Light" w:hAnsi="Helvetica Light" w:cs="Helvetica Light"/>
          <w:sz w:val="24"/>
          <w:sz-cs w:val="24"/>
        </w:rPr>
        <w:t xml:space="preserve">* Ceramic Matrix Composites</w:t>
      </w:r>
    </w:p>
    <w:p>
      <w:pPr/>
      <w:r>
        <w:rPr>
          <w:rFonts w:ascii="Helvetica Light" w:hAnsi="Helvetica Light" w:cs="Helvetica Light"/>
          <w:sz w:val="24"/>
          <w:sz-cs w:val="24"/>
        </w:rPr>
        <w:t xml:space="preserve">* Ceramic Coatings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Class* Oxide Ceramics</w:t>
      </w:r>
    </w:p>
    <w:p>
      <w:pPr/>
      <w:r>
        <w:rPr>
          <w:rFonts w:ascii="Helvetica Light" w:hAnsi="Helvetica Light" w:cs="Helvetica Light"/>
          <w:sz w:val="24"/>
          <w:sz-cs w:val="24"/>
        </w:rPr>
        <w:t xml:space="preserve">* Non-Oxide Ceramics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Electrical and Electronics</w:t>
      </w:r>
    </w:p>
    <w:p>
      <w:pPr/>
      <w:r>
        <w:rPr>
          <w:rFonts w:ascii="Helvetica Light" w:hAnsi="Helvetica Light" w:cs="Helvetica Light"/>
          <w:sz w:val="24"/>
          <w:sz-cs w:val="24"/>
        </w:rPr>
        <w:t xml:space="preserve">* Automotive</w:t>
      </w:r>
    </w:p>
    <w:p>
      <w:pPr/>
      <w:r>
        <w:rPr>
          <w:rFonts w:ascii="Helvetica Light" w:hAnsi="Helvetica Light" w:cs="Helvetica Light"/>
          <w:sz w:val="24"/>
          <w:sz-cs w:val="24"/>
        </w:rPr>
        <w:t xml:space="preserve">* Energy and Power</w:t>
      </w:r>
    </w:p>
    <w:p>
      <w:pPr/>
      <w:r>
        <w:rPr>
          <w:rFonts w:ascii="Helvetica Light" w:hAnsi="Helvetica Light" w:cs="Helvetica Light"/>
          <w:sz w:val="24"/>
          <w:sz-cs w:val="24"/>
        </w:rPr>
        <w:t xml:space="preserve">* Medical</w:t>
      </w:r>
    </w:p>
    <w:p>
      <w:pPr/>
      <w:r>
        <w:rPr>
          <w:rFonts w:ascii="Helvetica Light" w:hAnsi="Helvetica Light" w:cs="Helvetica Light"/>
          <w:sz w:val="24"/>
          <w:sz-cs w:val="24"/>
        </w:rPr>
        <w:t xml:space="preserve">* Aerospace and Defense</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Key Application* Insulators and Substrates</w:t>
      </w:r>
    </w:p>
    <w:p>
      <w:pPr/>
      <w:r>
        <w:rPr>
          <w:rFonts w:ascii="Helvetica Light" w:hAnsi="Helvetica Light" w:cs="Helvetica Light"/>
          <w:sz w:val="24"/>
          <w:sz-cs w:val="24"/>
        </w:rPr>
        <w:t xml:space="preserve">* Thermal Management Components</w:t>
      </w:r>
    </w:p>
    <w:p>
      <w:pPr/>
      <w:r>
        <w:rPr>
          <w:rFonts w:ascii="Helvetica Light" w:hAnsi="Helvetica Light" w:cs="Helvetica Light"/>
          <w:sz w:val="24"/>
          <w:sz-cs w:val="24"/>
        </w:rPr>
        <w:t xml:space="preserve">* Wear-resistant Parts and Bearings</w:t>
      </w:r>
    </w:p>
    <w:p>
      <w:pPr/>
      <w:r>
        <w:rPr>
          <w:rFonts w:ascii="Helvetica Light" w:hAnsi="Helvetica Light" w:cs="Helvetica Light"/>
          <w:sz w:val="24"/>
          <w:sz-cs w:val="24"/>
        </w:rPr>
        <w:t xml:space="preserve">* Bio-implants and Dental</w:t>
      </w:r>
    </w:p>
    <w:p>
      <w:pPr/>
      <w:r>
        <w:rPr>
          <w:rFonts w:ascii="Helvetica Light" w:hAnsi="Helvetica Light" w:cs="Helvetica Light"/>
          <w:sz w:val="24"/>
          <w:sz-cs w:val="24"/>
        </w:rPr>
        <w:t xml:space="preserve">* Armor and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technical ceramics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technical ceramics market stands at USD 10.09 billion in 2026 and is projected to reach USD 14.54 billion by 2031, growing at a 7.58%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holds the highest technical ceramics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Monolithic ceramics lead with a 46.10% technical ceramics market share in 2025, thanks to established reliability and scale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in the Asia Pacific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Rapid semiconductor fab expansion, surging EV production, and sustained consumer-electronics output underpin Asia Pacific's 43.40% revenue share and 7.84%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technical ceramics critical for electric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substrates and heat spreaders manage high thermal loads in 800 V power-train architectures, ensuring silicon carbide modules maintain safe junction temperatures and prolong vehicle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Wear-resistant parts and bearings are expected to outpace other uses at an 8.11% CAGR as industrial automation raises component duty cycles and precision requirements.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