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Thailand Travel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Travel Retail &amp; Duty Free (Retail)  </w:t>
      </w:r>
    </w:p>
    <w:p>
      <w:pPr/>
      <w:r>
        <w:rPr>
          <w:rFonts w:ascii="Helvetica Light" w:hAnsi="Helvetica Light" w:cs="Helvetica Light"/>
          <w:sz w:val="24"/>
          <w:sz-cs w:val="24"/>
        </w:rPr>
        <w:t xml:space="preserve">&gt; **Source:** [https://www.mordorintelligence.com/industry-reports/thailand-travel-retail-market](https://www.mordorintelligence.com/industry-reports/thailand-travel-retail-market)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3.62 billion |</w:t>
      </w:r>
    </w:p>
    <w:p>
      <w:pPr/>
      <w:r>
        <w:rPr>
          <w:rFonts w:ascii="Helvetica Light" w:hAnsi="Helvetica Light" w:cs="Helvetica Light"/>
          <w:sz w:val="24"/>
          <w:sz-cs w:val="24"/>
        </w:rPr>
        <w:t xml:space="preserve">| **Projected Forecast (2031)** | USD 3.62 billion |</w:t>
      </w:r>
    </w:p>
    <w:p>
      <w:pPr/>
      <w:r>
        <w:rPr>
          <w:rFonts w:ascii="Helvetica Light" w:hAnsi="Helvetica Light" w:cs="Helvetica Light"/>
          <w:sz w:val="24"/>
          <w:sz-cs w:val="24"/>
        </w:rPr>
        <w:t xml:space="preserve">| **Growth Rate (CAGR)** | 10.02 %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Thailand Travel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Travel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Travel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Travel Retail Market: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Travel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3.28 Billion | </w:t>
      </w:r>
    </w:p>
    <w:p>
      <w:pPr/>
      <w:r>
        <w:rPr>
          <w:rFonts w:ascii="Helvetica Light" w:hAnsi="Helvetica Light" w:cs="Helvetica Light"/>
          <w:sz w:val="24"/>
          <w:sz-cs w:val="24"/>
        </w:rPr>
        <w:t xml:space="preserve">Market Size (2026) | USD 3.62 Billion | </w:t>
      </w:r>
    </w:p>
    <w:p>
      <w:pPr/>
      <w:r>
        <w:rPr>
          <w:rFonts w:ascii="Helvetica Light" w:hAnsi="Helvetica Light" w:cs="Helvetica Light"/>
          <w:sz w:val="24"/>
          <w:sz-cs w:val="24"/>
        </w:rPr>
        <w:t xml:space="preserve">Market Size (2031) | USD 5.84 Billion | </w:t>
      </w:r>
    </w:p>
    <w:p>
      <w:pPr/>
      <w:r>
        <w:rPr>
          <w:rFonts w:ascii="Helvetica Light" w:hAnsi="Helvetica Light" w:cs="Helvetica Light"/>
          <w:sz w:val="24"/>
          <w:sz-cs w:val="24"/>
        </w:rPr>
        <w:t xml:space="preserve">Growth Rate (2026 - 2031) | 10.02 %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Travel Retail Market Analysis by Mordor IntelligenceThe Thailand Travel Retail Market size was valued at USD 3.28 billion in 2025 and is estimated to grow from USD 3.62 billion in 2026 to reach USD 5.84 billion by 2031, at a CAGR of 10.02%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upturn is supported by passenger recovery across Airports of Thailand’s network and by targeted policy measures that keep Thailand competitive among regional tourism hubs. The August 2024 closure of all inbound duty-free shops redirected spend toward departure-side stores and downtown formats, which concentrates volume in core locations where operators can drive higher-value conversion. Visa-policy liberalization for priority origin markets, including the mutual visa-free regime with China from March 2024, is widening the pool of free independent travelers who exhibit a stronger propensity to buy premium goods at airports. Chinese arrivals remained below pre-pandemic benchmarks in 2025, which shifts sales mix toward long-haul and high-value cohorts while pressuring operators to improve basket size through curated assortments and omnichannel pre-order.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Cosmetics &amp; Fragrances led with 44.12% in 2025, while Wines &amp; Spirits is forecast to expand at a 9.11% CAGR through 2031. </w:t>
      </w:r>
    </w:p>
    <w:p>
      <w:pPr/>
      <w:r>
        <w:rPr>
          <w:rFonts w:ascii="Helvetica Light" w:hAnsi="Helvetica Light" w:cs="Helvetica Light"/>
          <w:sz w:val="24"/>
          <w:sz-cs w:val="24"/>
        </w:rPr>
        <w:t xml:space="preserve">* By distribution channel, Airports held a 65.42% share in 2025, while Airports are projected to post the highest CAGR at 9.18%. </w:t>
      </w:r>
    </w:p>
    <w:p>
      <w:pPr/>
      <w:r>
        <w:rPr>
          <w:rFonts w:ascii="Helvetica Light" w:hAnsi="Helvetica Light" w:cs="Helvetica Light"/>
          <w:sz w:val="24"/>
          <w:sz-cs w:val="24"/>
        </w:rPr>
        <w:t xml:space="preserve">* By geography, Central Thailand accounted for a 60.25% share in 2025, while Northern Thailand is projected to grow at a 9.63%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Travel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Tourism rebound post-pandemic &amp; tourist-visa liberalisation | +2.1% | Global, with concentration in Northeast Asia, South Asia, and Eastern Europe | Medium term (2-4 years) | </w:t>
      </w:r>
    </w:p>
    <w:p>
      <w:pPr/>
      <w:r>
        <w:rPr>
          <w:rFonts w:ascii="Helvetica Light" w:hAnsi="Helvetica Light" w:cs="Helvetica Light"/>
          <w:sz w:val="24"/>
          <w:sz-cs w:val="24"/>
        </w:rPr>
        <w:t xml:space="preserve">Airport capacity expansion (Suvarnabhumi East, Don Mueang T3, Phuket) | +1.8% | Central Thailand, Southern Thailand, Northern Thailand, with spill-over to regional hubs | Long term (≥ 4 years) | </w:t>
      </w:r>
    </w:p>
    <w:p>
      <w:pPr/>
      <w:r>
        <w:rPr>
          <w:rFonts w:ascii="Helvetica Light" w:hAnsi="Helvetica Light" w:cs="Helvetica Light"/>
          <w:sz w:val="24"/>
          <w:sz-cs w:val="24"/>
        </w:rPr>
        <w:t xml:space="preserve">Premium beauty &amp; personal-care boom among inbound visitors | +1.4% | Asia-Pacific core with spill-over from Middle East visitors in Phuket | Medium term (2-4 years) | </w:t>
      </w:r>
    </w:p>
    <w:p>
      <w:pPr/>
      <w:r>
        <w:rPr>
          <w:rFonts w:ascii="Helvetica Light" w:hAnsi="Helvetica Light" w:cs="Helvetica Light"/>
          <w:sz w:val="24"/>
          <w:sz-cs w:val="24"/>
        </w:rPr>
        <w:t xml:space="preserve">Luxury tax and wine duty reforms stimulate duty-free spending | +1.2% | National, with particular strength in Bangkok, Phuket, and Chiang Mai | Short term (≤ 2 years) | </w:t>
      </w:r>
    </w:p>
    <w:p>
      <w:pPr/>
      <w:r>
        <w:rPr>
          <w:rFonts w:ascii="Helvetica Light" w:hAnsi="Helvetica Light" w:cs="Helvetica Light"/>
          <w:sz w:val="24"/>
          <w:sz-cs w:val="24"/>
        </w:rPr>
        <w:t xml:space="preserve">Cancellation of arrival duty-free shifts spent on departures/downtown | +0.8% | National, concentrated in major airports and selected downtown flagships | Short term (≤ 2 years) | </w:t>
      </w:r>
    </w:p>
    <w:p>
      <w:pPr/>
      <w:r>
        <w:rPr>
          <w:rFonts w:ascii="Helvetica Light" w:hAnsi="Helvetica Light" w:cs="Helvetica Light"/>
          <w:sz w:val="24"/>
          <w:sz-cs w:val="24"/>
        </w:rPr>
        <w:t xml:space="preserve">Omnichannel pre-order &amp; e-wallet integration lifts conversion rates | +0.9% | Global, with early gains in Bangkok, Phuket, and Chiang Mai; strongest among Chinese travelers using cross-border QR payments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Airport concessions in Thailand are highly concentrated, with a single incumbent operating across major AOT-managed gateways and shaping category execution and loyalty integration for the Thailand travel retail market. Post-pandemic renegotiations aimed to balance continuity with higher yield capture for the public landlord, and they aligned contract windows with long-horizon infrastructure plans. The concentration of airside operations rewards scale players that can sustain capital, inventory, and technology requirements while meeting service standards. This structure is a core context for strategic moves by incumbents and partners in the Thailand travel retail market. Partnership models that combine global loyalty ecosystems with local retail footprints have become central to value creation.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are investing in experiential downtown formats that complement airport stores, with flagship concepts that organize high-value categories into curated zones and provide assisted airport collection for restricted items. The role of omnichannel has expanded from basic pre-order to journey-wide engagement, which integrates product discovery, price transparency, loyalty rewards, and pickup logistics for the Thailand travel retail market. In-flight duty-free on national carriers remains a relevant extension for select categories, and it provides additional pre-order and delivery options around long-haul schedules. Airline subscription and lounge programs create recurring engagement points that can influence incidental purchases. Together, these tactics improve conversion along a traveler’s path and reinforce ecosystem stickiness in Thailand’s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partners are strengthening technology utility across borders, including mobile app features, local currency pricing, and connectivity improvements for Chinese travelers who expect seamless digital journeys. Airport-side digitization and compliance fundamentals, including payment security and data protection standards, remain table stakes as baskets shift to higher-value categories in the Thailand travel retail market. Operators are also aligning with regulatory and customs frameworks on allowances and labeling, which assures a consistent traveler experience at exit points. Capacity upgrades and longer concession horizons support the business case for sustained investment in brand boutiques and exclusive allocations. The overarching pattern is a consolidation of capability around scale, loyalty, compliance, and experiential formats in the Thailand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Thailand Travel Retail Industry Leaders* King Power International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Airports of Thailand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Central Pattana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Lotte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Shilla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report, the market covers traveler-focused retail sales in Thailand that happen through travel touchpoints where passengers shop during a trip, including duty-free and duty-paid travel retail formats across key transport-linked locations.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Regular domestic retail that is not linked to a travel journey (such as city malls and neighborhood stores) is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Fashion &amp; Accessories</w:t>
      </w:r>
    </w:p>
    <w:p>
      <w:pPr/>
      <w:r>
        <w:rPr>
          <w:rFonts w:ascii="Helvetica Light" w:hAnsi="Helvetica Light" w:cs="Helvetica Light"/>
          <w:sz w:val="24"/>
          <w:sz-cs w:val="24"/>
        </w:rPr>
        <w:t xml:space="preserve">* Jewelry &amp; Watches</w:t>
      </w:r>
    </w:p>
    <w:p>
      <w:pPr/>
      <w:r>
        <w:rPr>
          <w:rFonts w:ascii="Helvetica Light" w:hAnsi="Helvetica Light" w:cs="Helvetica Light"/>
          <w:sz w:val="24"/>
          <w:sz-cs w:val="24"/>
        </w:rPr>
        <w:t xml:space="preserve">* Wines &amp; Spirits</w:t>
      </w:r>
    </w:p>
    <w:p>
      <w:pPr/>
      <w:r>
        <w:rPr>
          <w:rFonts w:ascii="Helvetica Light" w:hAnsi="Helvetica Light" w:cs="Helvetica Light"/>
          <w:sz w:val="24"/>
          <w:sz-cs w:val="24"/>
        </w:rPr>
        <w:t xml:space="preserve">* Food &amp; Confectionery</w:t>
      </w:r>
    </w:p>
    <w:p>
      <w:pPr/>
      <w:r>
        <w:rPr>
          <w:rFonts w:ascii="Helvetica Light" w:hAnsi="Helvetica Light" w:cs="Helvetica Light"/>
          <w:sz w:val="24"/>
          <w:sz-cs w:val="24"/>
        </w:rPr>
        <w:t xml:space="preserve">* Cosmetics &amp; Fragrances</w:t>
      </w:r>
    </w:p>
    <w:p>
      <w:pPr/>
      <w:r>
        <w:rPr>
          <w:rFonts w:ascii="Helvetica Light" w:hAnsi="Helvetica Light" w:cs="Helvetica Light"/>
          <w:sz w:val="24"/>
          <w:sz-cs w:val="24"/>
        </w:rPr>
        <w:t xml:space="preserve">* Tobacco</w:t>
      </w:r>
    </w:p>
    <w:p>
      <w:pPr/>
      <w:r>
        <w:rPr>
          <w:rFonts w:ascii="Helvetica Light" w:hAnsi="Helvetica Light" w:cs="Helvetica Light"/>
          <w:sz w:val="24"/>
          <w:sz-cs w:val="24"/>
        </w:rPr>
        <w:t xml:space="preserve">* Other Product Types (Stationery, Electronics,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Airports</w:t>
      </w:r>
    </w:p>
    <w:p>
      <w:pPr/>
      <w:r>
        <w:rPr>
          <w:rFonts w:ascii="Helvetica Light" w:hAnsi="Helvetica Light" w:cs="Helvetica Light"/>
          <w:sz w:val="24"/>
          <w:sz-cs w:val="24"/>
        </w:rPr>
        <w:t xml:space="preserve">* Airlines</w:t>
      </w:r>
    </w:p>
    <w:p>
      <w:pPr/>
      <w:r>
        <w:rPr>
          <w:rFonts w:ascii="Helvetica Light" w:hAnsi="Helvetica Light" w:cs="Helvetica Light"/>
          <w:sz w:val="24"/>
          <w:sz-cs w:val="24"/>
        </w:rPr>
        <w:t xml:space="preserve">* Ferries</w:t>
      </w:r>
    </w:p>
    <w:p>
      <w:pPr/>
      <w:r>
        <w:rPr>
          <w:rFonts w:ascii="Helvetica Light" w:hAnsi="Helvetica Light" w:cs="Helvetica Light"/>
          <w:sz w:val="24"/>
          <w:sz-cs w:val="24"/>
        </w:rPr>
        <w:t xml:space="preserve">* Other Channels (Railway Stations, Border Shops, Downtown)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Central Thailand</w:t>
      </w:r>
    </w:p>
    <w:p>
      <w:pPr/>
      <w:r>
        <w:rPr>
          <w:rFonts w:ascii="Helvetica Light" w:hAnsi="Helvetica Light" w:cs="Helvetica Light"/>
          <w:sz w:val="24"/>
          <w:sz-cs w:val="24"/>
        </w:rPr>
        <w:t xml:space="preserve">* Northern Thailand</w:t>
      </w:r>
    </w:p>
    <w:p>
      <w:pPr/>
      <w:r>
        <w:rPr>
          <w:rFonts w:ascii="Helvetica Light" w:hAnsi="Helvetica Light" w:cs="Helvetica Light"/>
          <w:sz w:val="24"/>
          <w:sz-cs w:val="24"/>
        </w:rPr>
        <w:t xml:space="preserve">* Northeastern Thailand (Isan)</w:t>
      </w:r>
    </w:p>
    <w:p>
      <w:pPr/>
      <w:r>
        <w:rPr>
          <w:rFonts w:ascii="Helvetica Light" w:hAnsi="Helvetica Light" w:cs="Helvetica Light"/>
          <w:sz w:val="24"/>
          <w:sz-cs w:val="24"/>
        </w:rPr>
        <w:t xml:space="preserve">* Eastern Thailand</w:t>
      </w:r>
    </w:p>
    <w:p>
      <w:pPr/>
      <w:r>
        <w:rPr>
          <w:rFonts w:ascii="Helvetica Light" w:hAnsi="Helvetica Light" w:cs="Helvetica Light"/>
          <w:sz w:val="24"/>
          <w:sz-cs w:val="24"/>
        </w:rPr>
        <w:t xml:space="preserve">* Western Thailand</w:t>
      </w:r>
    </w:p>
    <w:p>
      <w:pPr/>
      <w:r>
        <w:rPr>
          <w:rFonts w:ascii="Helvetica Light" w:hAnsi="Helvetica Light" w:cs="Helvetica Light"/>
          <w:sz w:val="24"/>
          <w:sz-cs w:val="24"/>
        </w:rPr>
        <w:t xml:space="preserve">* Southern Thailand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Thailand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Thailand travel retail market size was USD 3.62 billion in 2026 and is projected to reach USD 5.84 billion by 2031 at a CAGR of 10.02%.</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lead sales in Thailand’s airport and duty-free ecosystem?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Cosmetics &amp; Fragrances lead the mix, and Wines &amp; Spirits is the fastest-growing category on the back of 2024 tax reforms and premiumization.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important are airports as a channel in Thailand’s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Airports accounted for 65.42% of 2025 sales and are projected to post the highest channel CAGR, supported by capacity upgrades and a non-aeronautical revenue focus.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policy shifts are shaping traveler purchases in Thailand?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mutual visa-free regime with China, the August 2024 closure of inbound duty-free, and the January 2026 end of low-value duty exemptions are key drivers of channel dynamics and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within Thailand are poised for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Northern Thailand is projected to grow the fastest through 2031 as capacity plans and experiential tourism patterns align, while Central Thailand remains the largest base.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