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Tokenized Money Market Fund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Wealth, Asset Management &amp; Private Equity (Financial Services &amp; Investment Intelligence)  </w:t>
      </w:r>
    </w:p>
    <w:p>
      <w:pPr/>
      <w:r>
        <w:rPr>
          <w:rFonts w:ascii="Helvetica Light" w:hAnsi="Helvetica Light" w:cs="Helvetica Light"/>
          <w:sz w:val="24"/>
          <w:sz-cs w:val="24"/>
        </w:rPr>
        <w:t xml:space="preserve">&gt; **Source:** [https://www.mordorintelligence.com/industry-reports/tokenized-money-market-fund-market](https://www.mordorintelligence.com/industry-reports/tokenized-money-market-fund-market)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11.70 billion |</w:t>
      </w:r>
    </w:p>
    <w:p>
      <w:pPr/>
      <w:r>
        <w:rPr>
          <w:rFonts w:ascii="Helvetica Light" w:hAnsi="Helvetica Light" w:cs="Helvetica Light"/>
          <w:sz w:val="24"/>
          <w:sz-cs w:val="24"/>
        </w:rPr>
        <w:t xml:space="preserve">| **Projected Forecast (2031)** | USD 11.70 billion |</w:t>
      </w:r>
    </w:p>
    <w:p>
      <w:pPr/>
      <w:r>
        <w:rPr>
          <w:rFonts w:ascii="Helvetica Light" w:hAnsi="Helvetica Light" w:cs="Helvetica Light"/>
          <w:sz w:val="24"/>
          <w:sz-cs w:val="24"/>
        </w:rPr>
        <w:t xml:space="preserve">| **Growth Rate (CAGR)** | 28.50 %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Tokenized Money Market Fund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Share by Portfolio Mandate,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Share by End-Investor Sector,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11.70 Billion | </w:t>
      </w:r>
    </w:p>
    <w:p>
      <w:pPr/>
      <w:r>
        <w:rPr>
          <w:rFonts w:ascii="Helvetica Light" w:hAnsi="Helvetica Light" w:cs="Helvetica Light"/>
          <w:sz w:val="24"/>
          <w:sz-cs w:val="24"/>
        </w:rPr>
        <w:t xml:space="preserve">Market Size (2031) | USD 41 Billion | </w:t>
      </w:r>
    </w:p>
    <w:p>
      <w:pPr/>
      <w:r>
        <w:rPr>
          <w:rFonts w:ascii="Helvetica Light" w:hAnsi="Helvetica Light" w:cs="Helvetica Light"/>
          <w:sz w:val="24"/>
          <w:sz-cs w:val="24"/>
        </w:rPr>
        <w:t xml:space="preserve">Growth Rate (2026 - 2031) | 28.50 %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Market Analysis by Mordor IntelligenceThe Tokenized Money Market Fund Market size is expected to grow from USD 7.90 billion in 2025 to USD 11.70 billion in 2026 and is forecast to reach USD 41 billion by 2031 at 28.5%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Tokenized money market fund market is being shaped by institutional demand for on-chain cash instruments that can earn income while retaining short-duration government securities exposure. The GENIUS Act, signed on July 18, 2025, recognizes government money market fund shares as eligible stablecoin reserve assets, which has made these products more relevant to stablecoin issuers. The European Central Bank reported that global tokenized money market fund capitalization increased 110% in 2025 and reached EUR 7 billion (USD 7.6 billion) by February 2026. Product providers are competing through distribution channels, custody arrangements, settlement features, and compatibility with regulated digital-asset infrastructure. The tokenized money market fund market also faces unresolved rulemaking, redemption timing differences, and limits on investor access that could slow wider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portfolio mandate, government, treasury, and public-debt mandates captured 92.5% of the tokenized money market fund market share in 2025, while prime and credit mandates are projected to grow at a 35.8% CAGR through 2031.</w:t>
      </w:r>
    </w:p>
    <w:p>
      <w:pPr/>
      <w:r>
        <w:rPr>
          <w:rFonts w:ascii="Helvetica Light" w:hAnsi="Helvetica Light" w:cs="Helvetica Light"/>
          <w:sz w:val="24"/>
          <w:sz-cs w:val="24"/>
        </w:rPr>
        <w:t xml:space="preserve">* By distributed-ledger architecture, public-network issuance captured 88.4% of the tokenized money market fund market share in 2025, while permissioned or private distributed-ledger technology issuance is projected to grow at a 38.7% CAGR through 2031.</w:t>
      </w:r>
    </w:p>
    <w:p>
      <w:pPr/>
      <w:r>
        <w:rPr>
          <w:rFonts w:ascii="Helvetica Light" w:hAnsi="Helvetica Light" w:cs="Helvetica Light"/>
          <w:sz w:val="24"/>
          <w:sz-cs w:val="24"/>
        </w:rPr>
        <w:t xml:space="preserve">* By end-investor sector, financial institutions and market intermediaries captured 31.7% of the tokenized money market fund market in 2025, while stablecoin and digital-money issuers are projected to grow at a 40.1% CAGR through 2031.</w:t>
      </w:r>
    </w:p>
    <w:p>
      <w:pPr/>
      <w:r>
        <w:rPr>
          <w:rFonts w:ascii="Helvetica Light" w:hAnsi="Helvetica Light" w:cs="Helvetica Light"/>
          <w:sz w:val="24"/>
          <w:sz-cs w:val="24"/>
        </w:rPr>
        <w:t xml:space="preserve">* By primary use of the holding, cash and liquidity management captured 42.2% of the tokenized money market fund market in 2025, while collateral, margin, and securities financing are projected to grow at a 36.3% CAGR through 2031.</w:t>
      </w:r>
    </w:p>
    <w:p>
      <w:pPr/>
      <w:r>
        <w:rPr>
          <w:rFonts w:ascii="Helvetica Light" w:hAnsi="Helvetica Light" w:cs="Helvetica Light"/>
          <w:sz w:val="24"/>
          <w:sz-cs w:val="24"/>
        </w:rPr>
        <w:t xml:space="preserve">* By geography, North America captured 68.3% of the tokenized money market fund market in 2025, while Asia-Pacific is the fastest-growing regional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Tokenized Money Market Fund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Demand for Yield-Bearing On-Chain Cash Management | +7.5% | Global, concentrated in North America and Europe | Short term (≤ 2 years) | </w:t>
      </w:r>
    </w:p>
    <w:p>
      <w:pPr/>
      <w:r>
        <w:rPr>
          <w:rFonts w:ascii="Helvetica Light" w:hAnsi="Helvetica Light" w:cs="Helvetica Light"/>
          <w:sz w:val="24"/>
          <w:sz-cs w:val="24"/>
        </w:rPr>
        <w:t xml:space="preserve">Institutional Adoption of Tokenized Cash and Treasury Management | +6% | North America, Europe, Asia-Pacific | Medium term (2-4 years) | </w:t>
      </w:r>
    </w:p>
    <w:p>
      <w:pPr/>
      <w:r>
        <w:rPr>
          <w:rFonts w:ascii="Helvetica Light" w:hAnsi="Helvetica Light" w:cs="Helvetica Light"/>
          <w:sz w:val="24"/>
          <w:sz-cs w:val="24"/>
        </w:rPr>
        <w:t xml:space="preserve">Expansion of Stablecoin-Funded On-Chain Investment Activity | +5.5% | Global, with early gains in North America | Short term (≤ 2 years) | </w:t>
      </w:r>
    </w:p>
    <w:p>
      <w:pPr/>
      <w:r>
        <w:rPr>
          <w:rFonts w:ascii="Helvetica Light" w:hAnsi="Helvetica Light" w:cs="Helvetica Light"/>
          <w:sz w:val="24"/>
          <w:sz-cs w:val="24"/>
        </w:rPr>
        <w:t xml:space="preserve">Use of Tokenized Fund Shares as On-Chain Collateral | +4% | North America, Asia-Pacific, and Europe | Medium term (2-4 years) | </w:t>
      </w:r>
    </w:p>
    <w:p>
      <w:pPr/>
      <w:r>
        <w:rPr>
          <w:rFonts w:ascii="Helvetica Light" w:hAnsi="Helvetica Light" w:cs="Helvetica Light"/>
          <w:sz w:val="24"/>
          <w:sz-cs w:val="24"/>
        </w:rPr>
        <w:t xml:space="preserve">Demand for Faster Settlement and Programmable Fund Transfers | +2.5% | Global | Long term (≥ 4 years) | </w:t>
      </w:r>
    </w:p>
    <w:p>
      <w:pPr/>
      <w:r>
        <w:rPr>
          <w:rFonts w:ascii="Helvetica Light" w:hAnsi="Helvetica Light" w:cs="Helvetica Light"/>
          <w:sz w:val="24"/>
          <w:sz-cs w:val="24"/>
        </w:rPr>
        <w:t xml:space="preserve">Expansion of Institutional Digital-Asset Infrastructure and Distribution | +2% | Asia-Pacific and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tokenized money market fund market is consolidated at the product level. The 10 largest products accounted for more than 90% of global market capitalization in 2026. BlackRock’s BUIDL held 40% of the tokenized Treasury and money market segment at its mid-2026 peak. The fund then recorded USD 400 million in outflows over 2 weeks in July 2026 as assets shifted toward new stablecoin reserve products. This change shows that early product leadership can be affected by new launches. Competition is also shaped by distribution, custody, and settlement links.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Goldman Sachs and BNY launched their tokenized fund solution in July 2025 through BNY LiquidityDirect. BlackRock, Fidelity Investments, Federated Hermes, and Goldman Sachs Asset Management participated at launch. BlackRock launched BRSRV in August 2026 as a stablecoin reserve vehicle available on Ethereum and Solana. State Street launched SSCXX in June 2026 as a Rule 2a-7 government money market fund designed for stablecoin reserve use. These moves reflect a focus on reserve eligibility and institutional distribution. The tokenized money market fund market is also attracting providers that offer technology and servicing functions to multiple managers.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Superstate, Securitize, Calastone, and DigiFT provide tokenization or distribution infrastructure for asset managers. Their models differ from the proprietary platform approaches used by J.P. Morgan Kinexys and Goldman Sachs GS DAP. Invesco filed for a United States-registered stablecoin reserve fund in 2026 using Superstate as a sub-transfer agent. Spiko reported more than USD 1 billion in assets under management within 18 months and set a subscription minimum of EUR 1 (USD 1.08). This approach differs from products with high institutional minimums. Product design, investor eligibility, and distribution partnerships remain central competitive factors.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Tokenized Money Market Fund Industry Leaders* BlackRock,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Circle Internet Group, Inc. / Hashnote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Franklin Resources,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WisdomTree,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Superstate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Tokenized Money Market Fund Market Report ScopeBy Portfolio MandateGovernment, Treasury, and Public-Debt Mandates | </w:t>
      </w:r>
    </w:p>
    <w:p>
      <w:pPr/>
      <w:r>
        <w:rPr>
          <w:rFonts w:ascii="Helvetica Light" w:hAnsi="Helvetica Light" w:cs="Helvetica Light"/>
          <w:sz w:val="24"/>
          <w:sz-cs w:val="24"/>
        </w:rPr>
        <w:t xml:space="preserve">Prime and Credit Mandates | </w:t>
      </w:r>
    </w:p>
    <w:p>
      <w:pPr/>
      <w:r>
        <w:rPr>
          <w:rFonts w:ascii="Helvetica Light" w:hAnsi="Helvetica Light" w:cs="Helvetica Light"/>
          <w:sz w:val="24"/>
          <w:sz-cs w:val="24"/>
        </w:rPr>
        <w:t xml:space="preserve">Tax-Exempt and Residual Mandates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tokenized money market funds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reach USD 41 billion by 2031, growing at a 28.5%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stablecoin issuers using tokenized money market funds?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Eligible government fund shares can support reserve management under the GENIUS Act while allowing reserve assets to earn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portfolio mandate leads tokenized money market fund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treasury, and public-debt mandates led with 92.5% of assets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end-investor group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Stablecoin and digital-money issuers are projected to expand at a 40.1%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tokenized money market fund presence?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68.3% of global share in 2025, supported by United States fund infrastructure and regulatory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limiting broader adoption of tokenized money market funds?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limitations include incomplete rulemaking, limited secondary-market liquidity, investor eligibility limits, and operational infrastructure risks.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