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Trade Credit Insurance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Insurance &amp; InsurTech (Financial Services &amp; Investment Intelligence)  </w:t>
      </w:r>
    </w:p>
    <w:p>
      <w:pPr/>
      <w:r>
        <w:rPr>
          <w:rFonts w:ascii="Helvetica Light" w:hAnsi="Helvetica Light" w:cs="Helvetica Light"/>
          <w:sz w:val="24"/>
          <w:sz-cs w:val="24"/>
        </w:rPr>
        <w:t xml:space="preserve">&gt; **Source:** [https://www.mordorintelligence.com/industry-reports/trade-credit-insurance-market](https://www.mordorintelligence.com/industry-reports/trade-credit-insurance-market)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19.87 billion |</w:t>
      </w:r>
    </w:p>
    <w:p>
      <w:pPr/>
      <w:r>
        <w:rPr>
          <w:rFonts w:ascii="Helvetica Light" w:hAnsi="Helvetica Light" w:cs="Helvetica Light"/>
          <w:sz w:val="24"/>
          <w:sz-cs w:val="24"/>
        </w:rPr>
        <w:t xml:space="preserve">| **Projected Forecast (2031)** | USD 19.87 billion |</w:t>
      </w:r>
    </w:p>
    <w:p>
      <w:pPr/>
      <w:r>
        <w:rPr>
          <w:rFonts w:ascii="Helvetica Light" w:hAnsi="Helvetica Light" w:cs="Helvetica Light"/>
          <w:sz w:val="24"/>
          <w:sz-cs w:val="24"/>
        </w:rPr>
        <w:t xml:space="preserve">| **Growth Rate (CAGR)** | 9.26 %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Trade Credit Insurance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Share by Enterprise Size,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19.87 Billion | </w:t>
      </w:r>
    </w:p>
    <w:p>
      <w:pPr/>
      <w:r>
        <w:rPr>
          <w:rFonts w:ascii="Helvetica Light" w:hAnsi="Helvetica Light" w:cs="Helvetica Light"/>
          <w:sz w:val="24"/>
          <w:sz-cs w:val="24"/>
        </w:rPr>
        <w:t xml:space="preserve">Market Size (2031) | USD 30.94 Billion | </w:t>
      </w:r>
    </w:p>
    <w:p>
      <w:pPr/>
      <w:r>
        <w:rPr>
          <w:rFonts w:ascii="Helvetica Light" w:hAnsi="Helvetica Light" w:cs="Helvetica Light"/>
          <w:sz w:val="24"/>
          <w:sz-cs w:val="24"/>
        </w:rPr>
        <w:t xml:space="preserve">Growth Rate (2026 - 2031) | 9.26 % | </w:t>
      </w:r>
    </w:p>
    <w:p>
      <w:pPr/>
      <w:r>
        <w:rPr>
          <w:rFonts w:ascii="Helvetica Light" w:hAnsi="Helvetica Light" w:cs="Helvetica Light"/>
          <w:sz w:val="24"/>
          <w:sz-cs w:val="24"/>
        </w:rPr>
        <w:t xml:space="preserve">Fastest Growing Market | Asia-Pacific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Market Analysis by Mordor IntelligenceThe Trade Credit Insurance Market size is projected to expand from USD 18.52 billion in 2025 and USD 19.87 billion in 2026 to USD 30.94 billion by 2031, registering a CAGR of 9.26% between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in the trade credit insurance market is closely tied to a prolonged insolvency cycle, with global business insolvencies expected to rise by 3% to 6% in 2026 and bankruptcy counts already standing 24% above pre-pandemic levels. This setting is changing how policyholders use cover, because receivables protection is now being used not only to protect balance sheets but also to support receivables-based financing and working capital access. Claims activity increased sharply by late 2025, yet pricing for new entrants remained competitive, which shows that underwriting pressure and pricing response are no longer moving in the same direction across the trade credit insurance market. Europe remained the largest regional base in 2025, while Asia-Pacific is set to expand the fastest through 2031, as export diversification, SME formalization, and stronger support from export credit agencies continue to expand the addressable base of the trade credit insurance market. The leading global carriers still control the core of premium volume, but lower penetration in North America and product access barriers for smaller companies leave clear room for broader channel innovation and simpler policy design.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enterprise size, large enterprises held 60.00% of the trade credit insurance market share in 2025, while SMEs are projected to grow at 10.90% CAGR through 2031.</w:t>
      </w:r>
    </w:p>
    <w:p>
      <w:pPr/>
      <w:r>
        <w:rPr>
          <w:rFonts w:ascii="Helvetica Light" w:hAnsi="Helvetica Light" w:cs="Helvetica Light"/>
          <w:sz w:val="24"/>
          <w:sz-cs w:val="24"/>
        </w:rPr>
        <w:t xml:space="preserve">* By coverage, whole turnover coverage accounted for 56.40% of the trade credit insurance market share in 2025, while single buyer coverage is projected to grow at a 12.00% CAGR through 2031.</w:t>
      </w:r>
    </w:p>
    <w:p>
      <w:pPr/>
      <w:r>
        <w:rPr>
          <w:rFonts w:ascii="Helvetica Light" w:hAnsi="Helvetica Light" w:cs="Helvetica Light"/>
          <w:sz w:val="24"/>
          <w:sz-cs w:val="24"/>
        </w:rPr>
        <w:t xml:space="preserve">* By application, cross-border business captured 58.70% of the trade credit insurance market share in 2025, while domestic coverage is projected to grow at a 11.80% CAGR through 2031.</w:t>
      </w:r>
    </w:p>
    <w:p>
      <w:pPr/>
      <w:r>
        <w:rPr>
          <w:rFonts w:ascii="Helvetica Light" w:hAnsi="Helvetica Light" w:cs="Helvetica Light"/>
          <w:sz w:val="24"/>
          <w:sz-cs w:val="24"/>
        </w:rPr>
        <w:t xml:space="preserve">* By end use, food and beverage accounted for 21.30% of the trade credit insurance market share in 2025, while automotive is projected to grow at a 12.80% CAGR through 2031.</w:t>
      </w:r>
    </w:p>
    <w:p>
      <w:pPr/>
      <w:r>
        <w:rPr>
          <w:rFonts w:ascii="Helvetica Light" w:hAnsi="Helvetica Light" w:cs="Helvetica Light"/>
          <w:sz w:val="24"/>
          <w:sz-cs w:val="24"/>
        </w:rPr>
        <w:t xml:space="preserve">* By geography, Europe captured 31.70% of global premiums in the trade credit insurance market share in 2025, while Asia-Pacific is projected to grow at 11.50%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Trade Credit Insurance Market*Driver | (~) % Impact on CAGR Forecast | Geographic Relevance | Impact Timeline | </w:t>
      </w:r>
    </w:p>
    <w:p>
      <w:pPr/>
      <w:r>
        <w:rPr>
          <w:rFonts w:ascii="Helvetica Light" w:hAnsi="Helvetica Light" w:cs="Helvetica Light"/>
          <w:sz w:val="24"/>
          <w:sz-cs w:val="24"/>
        </w:rPr>
        <w:t xml:space="preserve">Rising Buyer Insolvency Exposure | +2.0% | Global | Short term (≤ 2 years) | </w:t>
      </w:r>
    </w:p>
    <w:p>
      <w:pPr/>
      <w:r>
        <w:rPr>
          <w:rFonts w:ascii="Helvetica Light" w:hAnsi="Helvetica Light" w:cs="Helvetica Light"/>
          <w:sz w:val="24"/>
          <w:sz-cs w:val="24"/>
        </w:rPr>
        <w:t xml:space="preserve">Embedded Finance Adoption | +1.6% | Global, with early concentration in Asia-Pacific and North America | Medium term (2-4 years) | </w:t>
      </w:r>
    </w:p>
    <w:p>
      <w:pPr/>
      <w:r>
        <w:rPr>
          <w:rFonts w:ascii="Helvetica Light" w:hAnsi="Helvetica Light" w:cs="Helvetica Light"/>
          <w:sz w:val="24"/>
          <w:sz-cs w:val="24"/>
        </w:rPr>
        <w:t xml:space="preserve">Cross-Border Payment Risk | +1.3% | Global, with the highest intensity in Europe, Asia-Pacific, the Middle East, and Africa | Medium term (2-4 years) | </w:t>
      </w:r>
    </w:p>
    <w:p>
      <w:pPr/>
      <w:r>
        <w:rPr>
          <w:rFonts w:ascii="Helvetica Light" w:hAnsi="Helvetica Light" w:cs="Helvetica Light"/>
          <w:sz w:val="24"/>
          <w:sz-cs w:val="24"/>
        </w:rPr>
        <w:t xml:space="preserve">Sanctions and Counterparty Screening | +1.0% | North America and the EU, spill-over to the Asia-Pacific | Medium term (2-4 years) | </w:t>
      </w:r>
    </w:p>
    <w:p>
      <w:pPr/>
      <w:r>
        <w:rPr>
          <w:rFonts w:ascii="Helvetica Light" w:hAnsi="Helvetica Light" w:cs="Helvetica Light"/>
          <w:sz w:val="24"/>
          <w:sz-cs w:val="24"/>
        </w:rPr>
        <w:t xml:space="preserve">Broker-Bank Distribution Integration | +0.8% | Global, with leading adoption in Europe and North America | Medium term (2-4 years) | </w:t>
      </w:r>
    </w:p>
    <w:p>
      <w:pPr/>
      <w:r>
        <w:rPr>
          <w:rFonts w:ascii="Helvetica Light" w:hAnsi="Helvetica Light" w:cs="Helvetica Light"/>
          <w:sz w:val="24"/>
          <w:sz-cs w:val="24"/>
        </w:rPr>
        <w:t xml:space="preserve">SME Credit Limit Accessibility | +0.7% | Asia-Pacific core, spill-over to South America and Middle East, and Africa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trade credit insurance market is fragmented. Allianz Trade, Atradius, and Coface are among the key players, leveraging broad distribution networks, deep buyer databases, long-standing bank relationships, and the ability to syndicate capacity across large multinational accounts. The largest carriers also have an advantage in structured business because lenders prefer highly rated counterparties that can respond quickly to large single-name or portfolio placements. At the same time, the market is not closed, as specialty Lloyd’s syndicates, regional export credit agencies, and fintech-backed platforms are expanding the ways protection can be distributed. This leaves the trade credit insurance market fragmented in terms of core premium ownership but more open in product delivery and niche capacity creation.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now being shaped as much by operating model as by underwriting appetite. Atradius launched its Arcade unified pricing platform in Connecticut in 2026 to replace legacy infrastructure and standardize quoting by combining customer and internal credit risk data. Allianz Trade has focused on digital workflows through Allianz Trade pay and then extended that logic into North American receivables financing through its Klear partnership in April 2026. These moves show that the trade credit insurance market is rewarding carriers that can combine balance-sheet capacity with fast data processing, embedded onboarding, and financing compatibility. Carriers that cannot modernize those layers risk losing access to the fastest-growing channels, even if their core underwriting capabilities remain strong.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Another important shift is consolidation via adjacent risk-transfer platforms. Swiss Re Corporate Solutions agreed in February 2026 to acquire QBE Insurance Group’s Global Trade Credit and Surety business, which showed how reinsurers are moving closer to primary premium streams and direct client access. That logic matters because ownership of underwriting data, client relationships, and policy origination is becoming more valuable as embedded finance scales. The trade credit insurance market also remains exposed to reinsurance concentration, because treaty capacity is held by a limited group of providers and that can tighten quickly after systemic losses. This means competitive intensity can rise at the front end even while capacity discipline in the background still constrains how far primary growth can run.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Smaller entrants continue to matter even if they do not yet challenge the top tier on aggregate premium. Their pressure is strongest in the mid-market, where faster onboarding, lower minimum premiums, and API integration can be more decisive than brand scale. That matters for SME access, domestic applications, and newer geographies where corporate buyers are still forming purchasing habits. The trade credit insurance market is therefore likely to stay top-heavy in premium share while becoming broader and more diverse in distribution structure.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Trade Credit Insurance Industry Leaders* Allianz Trade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Atradius N.V.</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Coface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American International Group,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Zurich Insurance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Trade Credit Insurance Market Report ScopeBy Enterprise SizeLarge Enterprises | </w:t>
      </w:r>
    </w:p>
    <w:p>
      <w:pPr/>
      <w:r>
        <w:rPr>
          <w:rFonts w:ascii="Helvetica Light" w:hAnsi="Helvetica Light" w:cs="Helvetica Light"/>
          <w:sz w:val="24"/>
          <w:sz-cs w:val="24"/>
        </w:rPr>
        <w:t xml:space="preserve">Small and Medium Enterprises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United States | </w:t>
      </w:r>
    </w:p>
    <w:p>
      <w:pPr/>
      <w:r>
        <w:rPr>
          <w:rFonts w:ascii="Helvetica Light" w:hAnsi="Helvetica Light" w:cs="Helvetica Light"/>
          <w:sz w:val="24"/>
          <w:sz-cs w:val="24"/>
        </w:rPr>
        <w:t xml:space="preserve"> | Canada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and Luxembourg) | </w:t>
      </w:r>
    </w:p>
    <w:p>
      <w:pPr/>
      <w:r>
        <w:rPr>
          <w:rFonts w:ascii="Helvetica Light" w:hAnsi="Helvetica Light" w:cs="Helvetica Light"/>
          <w:sz w:val="24"/>
          <w:sz-cs w:val="24"/>
        </w:rPr>
        <w:t xml:space="preserve"> | NORDICS (Denmark, Finland, Iceland, Norway, and Sweden)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and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Middle East and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and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expected size of trade credit insurance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trade credit insurance market is projected to reach USD 30.94 billion by 2031, rising from USD 19.87 billion in 2026 at a CAGR of 9.26%.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global premiums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with 31.70% of global premiums in 2025, supported by mature carrier networks and strong use of credit insurance in bank-linked receivables management.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customer group is expanding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SMEs are the fastest-growing enterprise segment, with a forecast CAGR of 10.90% through 2031, driven mainly by embedded and platform-based distribution.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demand increasing across exporters?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rising because insolvency risk remains elevated, trade routes are changing, and firms need receivables protection that can also support financing and buyer screening.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coverage structure still dominates premiums?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Whole turnover coverage remains the largest structure with 56.40% of premiums in 2025, because it fits diversified buyer books and established treasury processes.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end-use segment shows the fastest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is projected to expand at a 12.80% CAGR through 2031, reflecting both stronger demand and more careful pricing as tariff and supply chain pressures raise buyer stress.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