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Urban Design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PropTech, Smart Buildings &amp; Urban Development (Real Estate &amp; Construction)  </w:t>
      </w:r>
    </w:p>
    <w:p>
      <w:pPr/>
      <w:r>
        <w:rPr>
          <w:rFonts w:ascii="Helvetica Light" w:hAnsi="Helvetica Light" w:cs="Helvetica Light"/>
          <w:sz w:val="24"/>
          <w:sz-cs w:val="24"/>
        </w:rPr>
        <w:t xml:space="preserve">&gt; **Source:** [https://www.mordorintelligence.com/industry-reports/urban-design-market](https://www.mordorintelligence.com/industry-reports/urban-design-market)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79.01 billion |</w:t>
      </w:r>
    </w:p>
    <w:p>
      <w:pPr/>
      <w:r>
        <w:rPr>
          <w:rFonts w:ascii="Helvetica Light" w:hAnsi="Helvetica Light" w:cs="Helvetica Light"/>
          <w:sz w:val="24"/>
          <w:sz-cs w:val="24"/>
        </w:rPr>
        <w:t xml:space="preserve">| **Projected Forecast (2031)** | USD 79.01 billion |</w:t>
      </w:r>
    </w:p>
    <w:p>
      <w:pPr/>
      <w:r>
        <w:rPr>
          <w:rFonts w:ascii="Helvetica Light" w:hAnsi="Helvetica Light" w:cs="Helvetica Light"/>
          <w:sz w:val="24"/>
          <w:sz-cs w:val="24"/>
        </w:rPr>
        <w:t xml:space="preserve">| **Growth Rate (CAGR)** | 7.80 %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Urban Design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![Urban Design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![Urban Design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![Urban Design Market Share by Investor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![Urban Design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![Urban Design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79.01 Billion | </w:t>
      </w:r>
    </w:p>
    <w:p>
      <w:pPr/>
      <w:r>
        <w:rPr>
          <w:rFonts w:ascii="Helvetica Light" w:hAnsi="Helvetica Light" w:cs="Helvetica Light"/>
          <w:sz w:val="24"/>
          <w:sz-cs w:val="24"/>
        </w:rPr>
        <w:t xml:space="preserve">Market Size (2031) | USD 114.80 Billion | </w:t>
      </w:r>
    </w:p>
    <w:p>
      <w:pPr/>
      <w:r>
        <w:rPr>
          <w:rFonts w:ascii="Helvetica Light" w:hAnsi="Helvetica Light" w:cs="Helvetica Light"/>
          <w:sz w:val="24"/>
          <w:sz-cs w:val="24"/>
        </w:rPr>
        <w:t xml:space="preserve">Growth Rate (2026 - 2031) | 7.80 %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Urban Design Market Analysis by Mordor IntelligenceThe Urban Design Market size is expected to grow from USD 74.5 billion in 2025 to USD 79.01 billion in 2026 and is forecast to reach USD 114.80 billion by 2031 at 7.80% CAGR over 2026-2031. The urban design market is supported by the need to plan growing cities, renew older districts, and link development with transport and public services. The United Nations reported that cities housed 45% of the global population of 8.2 billion in 2025, and most population growth through 2050 is expected in urban areas[1] United Nations Department of Economic and Social Affairs, “World Urbanization Prospects: The 2025 Revision,” United Nations, un.org. This increases demand for master planning, land-use advice, and public realm design in mature and emerging economies. Work is shifting from new city construction to the regeneration of existing neighborhoods, which requires coordination across planning, mobility, public space, climate adaptation, and community needs. Firms with broad technical teams, strong local partnerships, and practical regulatory knowledge are positioned to compete for these assignments.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master planning and land-use planning held 31.6% of the urban design market share in 2025, while zoning, development control, and implementation advisory is forecast to grow at an 8.4% CAGR through 2031.</w:t>
      </w:r>
    </w:p>
    <w:p>
      <w:pPr/>
      <w:r>
        <w:rPr>
          <w:rFonts w:ascii="Helvetica Light" w:hAnsi="Helvetica Light" w:cs="Helvetica Light"/>
          <w:sz w:val="24"/>
          <w:sz-cs w:val="24"/>
        </w:rPr>
        <w:t xml:space="preserve">* By sector, mixed-use and township developments held 38.2% of the urban design market size in 2025, while Transportation and Infrastructure is forecast to grow at an 8.1% CAGR through 2031.</w:t>
      </w:r>
    </w:p>
    <w:p>
      <w:pPr/>
      <w:r>
        <w:rPr>
          <w:rFonts w:ascii="Helvetica Light" w:hAnsi="Helvetica Light" w:cs="Helvetica Light"/>
          <w:sz w:val="24"/>
          <w:sz-cs w:val="24"/>
        </w:rPr>
        <w:t xml:space="preserve">* By investor type, public clients accounted for 61.5% of revenue in 2025, while private investor clients are forecast to grow at a 7.8% CAGR through 2031.</w:t>
      </w:r>
    </w:p>
    <w:p>
      <w:pPr/>
      <w:r>
        <w:rPr>
          <w:rFonts w:ascii="Helvetica Light" w:hAnsi="Helvetica Light" w:cs="Helvetica Light"/>
          <w:sz w:val="24"/>
          <w:sz-cs w:val="24"/>
        </w:rPr>
        <w:t xml:space="preserve">* By geography, Asia-Pacific held 37.8% of revenue in 2025, while the Middle East and Africa is forecast to grow at an 8.9%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Urban Design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Urban Population Growth | +2.1% | Global, with peak intensity in South and Southeast Asia and Sub-Saharan Africa | Long term (≥ 4 years) | </w:t>
      </w:r>
    </w:p>
    <w:p>
      <w:pPr/>
      <w:r>
        <w:rPr>
          <w:rFonts w:ascii="Helvetica Light" w:hAnsi="Helvetica Light" w:cs="Helvetica Light"/>
          <w:sz w:val="24"/>
          <w:sz-cs w:val="24"/>
        </w:rPr>
        <w:t xml:space="preserve">Secondary City Development | +2.0% | Asia-Pacific, especially ASEAN, Indonesia, Vietnam, and other emerging urban centers | Long term (≥ 4 years) | </w:t>
      </w:r>
    </w:p>
    <w:p>
      <w:pPr/>
      <w:r>
        <w:rPr>
          <w:rFonts w:ascii="Helvetica Light" w:hAnsi="Helvetica Light" w:cs="Helvetica Light"/>
          <w:sz w:val="24"/>
          <w:sz-cs w:val="24"/>
        </w:rPr>
        <w:t xml:space="preserve">Urban Regeneration and Redevelopment | +1.9% | China, Europe, North America, and India | Medium term (2-4 years) | </w:t>
      </w:r>
    </w:p>
    <w:p>
      <w:pPr/>
      <w:r>
        <w:rPr>
          <w:rFonts w:ascii="Helvetica Light" w:hAnsi="Helvetica Light" w:cs="Helvetica Light"/>
          <w:sz w:val="24"/>
          <w:sz-cs w:val="24"/>
        </w:rPr>
        <w:t xml:space="preserve">Infrastructure and Transit Investment | +1.7% | Asia-Pacific, Middle East and Africa, and North America | Medium term (2-4 years) | </w:t>
      </w:r>
    </w:p>
    <w:p>
      <w:pPr/>
      <w:r>
        <w:rPr>
          <w:rFonts w:ascii="Helvetica Light" w:hAnsi="Helvetica Light" w:cs="Helvetica Light"/>
          <w:sz w:val="24"/>
          <w:sz-cs w:val="24"/>
        </w:rPr>
        <w:t xml:space="preserve">Climate-Resilient Urban Development | +1.3% | Global, with policy concentration in OECD economies, Brazil, and India | Long term (≥ 4 years) | </w:t>
      </w:r>
    </w:p>
    <w:p>
      <w:pPr/>
      <w:r>
        <w:rPr>
          <w:rFonts w:ascii="Helvetica Light" w:hAnsi="Helvetica Light" w:cs="Helvetica Light"/>
          <w:sz w:val="24"/>
          <w:sz-cs w:val="24"/>
        </w:rPr>
        <w:t xml:space="preserve">Demand for Mixed-Use and Walkable Communities | +1.2% | North America, Europe, Gulf Cooperation Council countries, and East Asia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urban design market has large integrated consultancies and specialist design practices with different competitive strengths. AECOM, Jacobs Solutions, WSP Global, Arcadis, and AtkinsRéalis compete through multidisciplinary services, geographic coverage, and delivery capacity. Their teams can combine planning, transport, water, engineering, architecture, and program management. AECOM reported a record backlog of USD 26.2 billion in its second-quarter fiscal 2026 results, along with a record design pipeline and strong client funding in transportation, water, and urban end markets. Arcadis reported net revenue of approximately USD 4.1 billion in 2025, free cash flow of approximately USD 311 million, and a backlog of approximately USD 3.9 billion. These indicators show why scale, financial capacity, and long client relationships remain important in major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Specialist firms, including Gensler, HOK, Perkins&amp;Will, Sasaki Associates, Gehl People, and Surbana Jurong, compete through local context, placemaking, design quality, and sector knowledge. These firms can be selected for prominent projects where cultural fit and public experience carry significant weight. Formal local partnerships can help international practices access early planning work in South and Southeast Asia. This approach can be more effective than relying only on a branch office because local studios often have established public-sector relationships. Implementation advice for large programs is a further area of competition because it combines phasing, community engagement, standards, and adaptive management. Compliance with frameworks such as ISO 37120 can influence tender assessments when clients require evidence of sustainable city outcomes.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Consolidation is also shaping the urban design market. WSP Global made a second unsolicited bid for Arcadis in July 2026, and Arcadis rejected the offer. The supplied material reported a bid value of USD 4.8 billion, and stated that Arcadis considered it to undervalue the company. AECOM and Jacobs Solutions were jointly appointed in November 2025 to provide design services for The Mukaab in Riyadh’s New Murabba development. Their remit includes infrastructure, road tunnels, wadi podiums, and public realm areas. These moves show that firms are seeking scale and major-program positions, while specialists continue to compete where local knowledge and design distinction matter.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Urban Design Industry Leaders* AECOM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Jacobs Solutions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WSP Global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Arcadis N.V.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Stantec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Urban Design Market Report ScopeBy TypeMaster Planning and Land-Use Planning | </w:t>
      </w:r>
    </w:p>
    <w:p>
      <w:pPr/>
      <w:r>
        <w:rPr>
          <w:rFonts w:ascii="Helvetica Light" w:hAnsi="Helvetica Light" w:cs="Helvetica Light"/>
          <w:sz w:val="24"/>
          <w:sz-cs w:val="24"/>
        </w:rPr>
        <w:t xml:space="preserve">Urban Design, Public Realm and Landscape Design | </w:t>
      </w:r>
    </w:p>
    <w:p>
      <w:pPr/>
      <w:r>
        <w:rPr>
          <w:rFonts w:ascii="Helvetica Light" w:hAnsi="Helvetica Light" w:cs="Helvetica Light"/>
          <w:sz w:val="24"/>
          <w:sz-cs w:val="24"/>
        </w:rPr>
        <w:t xml:space="preserve">Transportation and Mobility Planning | </w:t>
      </w:r>
    </w:p>
    <w:p>
      <w:pPr/>
      <w:r>
        <w:rPr>
          <w:rFonts w:ascii="Helvetica Light" w:hAnsi="Helvetica Light" w:cs="Helvetica Light"/>
          <w:sz w:val="24"/>
          <w:sz-cs w:val="24"/>
        </w:rPr>
        <w:t xml:space="preserve">Zoning, Development Control and Implementation Advisory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 - 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 - 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growth rate for urban design services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is projected to grow at a 7.8% CAGR from 2026 to 2031, rising from USD 79.01 billion in 2026 to USD 114.8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urban design service type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Zoning, Development Control and Implementation Advisory is forecast to grow at an 8.4%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project sector creates the largest demand for urban design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Mixed-Use and Township Developments held 38.2% of revenue in 2025, the largest sector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regeneration projects important for design consultancies?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Existing districts require coordinated work on land use, public space, infrastructure, local engagement, and phased delivery.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