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r>
        <w:rPr>
          <w:rFonts w:ascii="Helvetica Light" w:hAnsi="Helvetica Light" w:cs="Helvetica Light"/>
          <w:sz w:val="24"/>
          <w:sz-cs w:val="24"/>
        </w:rPr>
        <w:t xml:space="preserve"># US Property Management Market Size &amp; Share Analysis - Growth Trends and Forecast (2026 - 2031)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&gt; **Industry:** REITs, Property Investment &amp; Management (Real Estate &amp; Construction)  </w:t>
      </w:r>
    </w:p>
    <w:p>
      <w:pPr/>
      <w:r>
        <w:rPr>
          <w:rFonts w:ascii="Helvetica Light" w:hAnsi="Helvetica Light" w:cs="Helvetica Light"/>
          <w:sz w:val="24"/>
          <w:sz-cs w:val="24"/>
        </w:rPr>
        <w:t xml:space="preserve">&gt; **Source:** [https://www.mordorintelligence.com/industry-reports/us-property-management-market](https://www.mordorintelligence.com/industry-reports/us-property-management-market)  </w:t>
      </w:r>
    </w:p>
    <w:p>
      <w:pPr/>
      <w:r>
        <w:rPr>
          <w:rFonts w:ascii="Helvetica Light" w:hAnsi="Helvetica Light" w:cs="Helvetica Light"/>
          <w:sz w:val="24"/>
          <w:sz-cs w:val="24"/>
        </w:rPr>
        <w:t xml:space="preserve">&gt; **Scraped Date:** 2026-09-17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Executive Market Summary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Metric | Details |</w:t>
      </w:r>
    </w:p>
    <w:p>
      <w:pPr/>
      <w:r>
        <w:rPr>
          <w:rFonts w:ascii="Helvetica Light" w:hAnsi="Helvetica Light" w:cs="Helvetica Light"/>
          <w:sz w:val="24"/>
          <w:sz-cs w:val="24"/>
        </w:rPr>
        <w:t xml:space="preserve">| :--- | :--- |</w:t>
      </w:r>
    </w:p>
    <w:p>
      <w:pPr/>
      <w:r>
        <w:rPr>
          <w:rFonts w:ascii="Helvetica Light" w:hAnsi="Helvetica Light" w:cs="Helvetica Light"/>
          <w:sz w:val="24"/>
          <w:sz-cs w:val="24"/>
        </w:rPr>
        <w:t xml:space="preserve">| **Base Market Size** | USD 88.03 billion |</w:t>
      </w:r>
    </w:p>
    <w:p>
      <w:pPr/>
      <w:r>
        <w:rPr>
          <w:rFonts w:ascii="Helvetica Light" w:hAnsi="Helvetica Light" w:cs="Helvetica Light"/>
          <w:sz w:val="24"/>
          <w:sz-cs w:val="24"/>
        </w:rPr>
        <w:t xml:space="preserve">| **Projected Forecast (2031)** | USD 88.03 billion |</w:t>
      </w:r>
    </w:p>
    <w:p>
      <w:pPr/>
      <w:r>
        <w:rPr>
          <w:rFonts w:ascii="Helvetica Light" w:hAnsi="Helvetica Light" w:cs="Helvetica Light"/>
          <w:sz w:val="24"/>
          <w:sz-cs w:val="24"/>
        </w:rPr>
        <w:t xml:space="preserve">| **Growth Rate (CAGR)** | 3.90 % |</w:t>
      </w:r>
    </w:p>
    <w:p>
      <w:pPr/>
      <w:r>
        <w:rPr>
          <w:rFonts w:ascii="Helvetica Light" w:hAnsi="Helvetica Light" w:cs="Helvetica Light"/>
          <w:sz w:val="24"/>
          <w:sz-cs w:val="24"/>
        </w:rPr>
        <w:t xml:space="preserve">| **Largest Market Region** | N/A |</w:t>
      </w:r>
    </w:p>
    <w:p>
      <w:pPr/>
      <w:r>
        <w:rPr>
          <w:rFonts w:ascii="Helvetica Light" w:hAnsi="Helvetica Light" w:cs="Helvetica Light"/>
          <w:sz w:val="24"/>
          <w:sz-cs w:val="24"/>
        </w:rPr>
        <w:t xml:space="preserve">| **Fastest-Growing Region** | N/A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Visualizations &amp; Infographics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![Major players in US Property Management industry](images/chart_2.png)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![US Property Management Market Size](images/chart_3.png)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![US Property Management Market Share by Property Type, 2025](images/chart_4.png)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![US Property Management Market Concentration](images/chart_5.png)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![footer background image](images/chart_8.png)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Facebook](images/chart_10.svg)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Pinterest](images/chart_12.svg)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Instagram](images/chart_13.svg)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![ESOMAR](images/chart_15.png)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![GPTW](images/chart_17.png)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Comprehensive Research Analysis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Overview Points List Flex 49 Share Feature End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Overview</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Study Period | 2020 - 2031 | </w:t>
      </w:r>
    </w:p>
    <w:p>
      <w:pPr/>
      <w:r>
        <w:rPr>
          <w:rFonts w:ascii="Helvetica Light" w:hAnsi="Helvetica Light" w:cs="Helvetica Light"/>
          <w:sz w:val="24"/>
          <w:sz-cs w:val="24"/>
        </w:rPr>
        <w:t xml:space="preserve">Forecast Data Period | 2026 - 2031 | </w:t>
      </w:r>
    </w:p>
    <w:p>
      <w:pPr/>
      <w:r>
        <w:rPr>
          <w:rFonts w:ascii="Helvetica Light" w:hAnsi="Helvetica Light" w:cs="Helvetica Light"/>
          <w:sz w:val="24"/>
          <w:sz-cs w:val="24"/>
        </w:rPr>
        <w:t xml:space="preserve">Base Year Market Size (2025) | USD 84.73 Billion | </w:t>
      </w:r>
    </w:p>
    <w:p>
      <w:pPr/>
      <w:r>
        <w:rPr>
          <w:rFonts w:ascii="Helvetica Light" w:hAnsi="Helvetica Light" w:cs="Helvetica Light"/>
          <w:sz w:val="24"/>
          <w:sz-cs w:val="24"/>
        </w:rPr>
        <w:t xml:space="preserve">Market Size (2026) | USD 88.03 Billion | </w:t>
      </w:r>
    </w:p>
    <w:p>
      <w:pPr/>
      <w:r>
        <w:rPr>
          <w:rFonts w:ascii="Helvetica Light" w:hAnsi="Helvetica Light" w:cs="Helvetica Light"/>
          <w:sz w:val="24"/>
          <w:sz-cs w:val="24"/>
        </w:rPr>
        <w:t xml:space="preserve">Market Size (2031) | USD 106.58 Billion | </w:t>
      </w:r>
    </w:p>
    <w:p>
      <w:pPr/>
      <w:r>
        <w:rPr>
          <w:rFonts w:ascii="Helvetica Light" w:hAnsi="Helvetica Light" w:cs="Helvetica Light"/>
          <w:sz w:val="24"/>
          <w:sz-cs w:val="24"/>
        </w:rPr>
        <w:t xml:space="preserve">Growth Rate (2026 - 2031) | 3.90 % | </w:t>
      </w:r>
    </w:p>
    <w:p>
      <w:pPr/>
      <w:r>
        <w:rPr>
          <w:rFonts w:ascii="Helvetica Light" w:hAnsi="Helvetica Light" w:cs="Helvetica Light"/>
          <w:sz w:val="24"/>
          <w:sz-cs w:val="24"/>
        </w:rPr>
        <w:t xml:space="preserve">Market Concentration | Low | </w:t>
      </w:r>
    </w:p>
    <w:p>
      <w:pPr/>
      <w:r>
        <w:rPr>
          <w:rFonts w:ascii="Helvetica Light" w:hAnsi="Helvetica Light" w:cs="Helvetica Light"/>
          <w:sz w:val="24"/>
          <w:sz-cs w:val="24"/>
        </w:rPr>
        <w:t xml:space="preserve">Major Players*Disclaimer: Major Players sorted in no particular order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Overview</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US Property Management Market Analysis by Mordor IntelligenceThe US Property Management Services Market size was valued at USD 84.73 billion in 2025 and estimated to grow from USD 88.03 billion in 2026 to reach USD 106.58 billion by 2031, at a CAGR of 3.9% during the forecast period (2026-2031). Growth rests on resilient rental demand, institutional ownership of both single-family and multifamily assets, and renewed leasing activity in premium office buildings. Federal Reserve surveys show 27% of U.S. adults rent their homes, underpinning a large tenant base that requires professional oversight. Institutional investors use scale to drive professional management, while environmental, social, and governance (ESG) regulations accelerate demand for compliance-oriented services. Technology adoption, especially artificial-intelligence tools that automate leasing, maintenance, and resident engagement, further supports efficiency and tenant retention. Competitive intensity is rising as national firms buy tech-enabled specialists to widen service breadth and geographic reach[1]Board of Governors, “Report on the Economic Well-Being of U.S. Households,” federalreserve.gov.</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Key Report Takeaways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property type, residential assets held 49.35% of the US property management services market share in 2025. Commercial properties are projected to log the fastest 4.82% CAGR through 2031.</w:t>
      </w:r>
    </w:p>
    <w:p>
      <w:pPr/>
      <w:r>
        <w:rPr>
          <w:rFonts w:ascii="Helvetica Light" w:hAnsi="Helvetica Light" w:cs="Helvetica Light"/>
          <w:sz w:val="24"/>
          <w:sz-cs w:val="24"/>
        </w:rPr>
        <w:t xml:space="preserve">* By service type, tenant and resident services captured 34.12% revenue share in 2025. Other services, led by compliance and legal work, are forecast to grow at 4.6% CAGR to 2031.</w:t>
      </w:r>
    </w:p>
    <w:p>
      <w:pPr/>
      <w:r>
        <w:rPr>
          <w:rFonts w:ascii="Helvetica Light" w:hAnsi="Helvetica Light" w:cs="Helvetica Light"/>
          <w:sz w:val="24"/>
          <w:sz-cs w:val="24"/>
        </w:rPr>
        <w:t xml:space="preserve">* By geography, the Southeast commanded 20.10% of 2025 revenue, while the West is set to expand at a 4.93% CAGR.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Key Market Trends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US Property Management Market Trends and InsightsDrivers Impact Analysis*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Driver | (~) % Impact on CAGR Forecast | Geographic Relevance | Impact Timeline | </w:t>
      </w:r>
    </w:p>
    <w:p>
      <w:pPr/>
      <w:r>
        <w:rPr>
          <w:rFonts w:ascii="Helvetica Light" w:hAnsi="Helvetica Light" w:cs="Helvetica Light"/>
          <w:sz w:val="24"/>
          <w:sz-cs w:val="24"/>
        </w:rPr>
        <w:t xml:space="preserve">Expansion of single-family rental portfolios | +1.2% | Sunbelt states, Western U.S., Southeast | Long term (≥4 years) | </w:t>
      </w:r>
    </w:p>
    <w:p>
      <w:pPr/>
      <w:r>
        <w:rPr>
          <w:rFonts w:ascii="Helvetica Light" w:hAnsi="Helvetica Light" w:cs="Helvetica Light"/>
          <w:sz w:val="24"/>
          <w:sz-cs w:val="24"/>
        </w:rPr>
        <w:t xml:space="preserve">Rising demand from Class-A commercial real estate | +0.8% | California, New York, Texas major metros | Medium term (2-4 years) | </w:t>
      </w:r>
    </w:p>
    <w:p>
      <w:pPr/>
      <w:r>
        <w:rPr>
          <w:rFonts w:ascii="Helvetica Light" w:hAnsi="Helvetica Light" w:cs="Helvetica Light"/>
          <w:sz w:val="24"/>
          <w:sz-cs w:val="24"/>
        </w:rPr>
        <w:t xml:space="preserve">Aging U.S. housing stock needs maintenance | +0.7% | Northeast, Midwest legacy markets | Long term (≥4 years) | </w:t>
      </w:r>
    </w:p>
    <w:p>
      <w:pPr/>
      <w:r>
        <w:rPr>
          <w:rFonts w:ascii="Helvetica Light" w:hAnsi="Helvetica Light" w:cs="Helvetica Light"/>
          <w:sz w:val="24"/>
          <w:sz-cs w:val="24"/>
        </w:rPr>
        <w:t xml:space="preserve">Growing institutional outsourcing by pension/SWF investors | +0.6% | National, major metropolitan areas | Long term (≥4 years) | </w:t>
      </w:r>
    </w:p>
    <w:p>
      <w:pPr/>
      <w:r>
        <w:rPr>
          <w:rFonts w:ascii="Helvetica Light" w:hAnsi="Helvetica Light" w:cs="Helvetica Light"/>
          <w:sz w:val="24"/>
          <w:sz-cs w:val="24"/>
        </w:rPr>
        <w:t xml:space="preserve">Adoption of AI-enabled leasing &amp; service tech | +0.4% | Tech-forward markets, urban centers | Short term (≤2 years) | </w:t>
      </w:r>
    </w:p>
    <w:p>
      <w:pPr/>
      <w:r>
        <w:rPr>
          <w:rFonts w:ascii="Helvetica Light" w:hAnsi="Helvetica Light" w:cs="Helvetica Light"/>
          <w:sz w:val="24"/>
          <w:sz-cs w:val="24"/>
        </w:rPr>
        <w:t xml:space="preserve">ESG &amp; green-lease compliance pressure | +0.3% | California, New York, and federal properties | Medium term (2-4 years) | </w:t>
      </w:r>
    </w:p>
    <w:p>
      <w:pPr/>
      <w:r>
        <w:rPr>
          <w:rFonts w:ascii="Helvetica Light" w:hAnsi="Helvetica Light" w:cs="Helvetica Light"/>
          <w:sz w:val="24"/>
          <w:sz-cs w:val="24"/>
        </w:rPr>
        <w:t xml:space="preserve">Source: Mordor Intelligence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National managers, regional specialists, and tech-oriented newcomers contend for a share in a fragmented but consolidating arena. CBRE’s USD 400 million purchase of Industrious in January 2025 created a Building Operations &amp; Experience segment comprising 7 billion-plus square feet under oversight, illustrating how scale plus flexible-workspace capabilities differentiate full-service platforms.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Strategic acquisitions remain a favorite playbook. Firms seek data-rich portfolios, ESG advisory practices, and AI application suites that accelerate tenant service and reduce operating costs. Integration of these capabilities often unlocks new fee pools, such as compliance consulting and smart-building retrofits, thereby raising switching barriers for owners.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Technology disruptors focus on cloud-based leasing, maintenance marketplaces, and predictive analytics that promise lower costs and enhanced tenant satisfaction. While many start-ups cater to small landlords, larger incumbents have begun white-labeling similar tools, blurring competitive lines. Specialized managers of healthcare and logistics facilities, such as Medical Properties Trust with 439 U.S. hospitals, carve niches where domain expertise outweighs pure scale. These varied strategies collectively propel continuous innovation across the US property management services market.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US Property Management Industry Leaders* Greystar Real Estate Partners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CBRE Group, Inc.</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Lincoln Property Company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Jones Lang LaSalle (JLL)</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Cushman &amp; Wakefield plc</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*Disclaimer: Major Players sorted in no particular order</w:t>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Scope Methodology P Space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This market covers revenues earned from outsourced property management services in the United States, where a third party manages day to day operations for owners. The scope includes recurring tasks such as marketing and leasing support, tenant services, maintenance coordination, and lease administration.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Scope exclusions: the sizing excludes property sales brokerage and one time construction contracting that is not part of an ongoing management agreement.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Segmentation Container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Property Type* Commercial</w:t>
      </w:r>
    </w:p>
    <w:p>
      <w:pPr/>
      <w:r>
        <w:rPr>
          <w:rFonts w:ascii="Helvetica Light" w:hAnsi="Helvetica Light" w:cs="Helvetica Light"/>
          <w:sz w:val="24"/>
          <w:sz-cs w:val="24"/>
        </w:rPr>
        <w:t xml:space="preserve">* Residential</w:t>
      </w:r>
    </w:p>
    <w:p>
      <w:pPr/>
      <w:r>
        <w:rPr>
          <w:rFonts w:ascii="Helvetica Light" w:hAnsi="Helvetica Light" w:cs="Helvetica Light"/>
          <w:sz w:val="24"/>
          <w:sz-cs w:val="24"/>
        </w:rPr>
        <w:t xml:space="preserve">* Industrial &amp; Logistics</w:t>
      </w:r>
    </w:p>
    <w:p>
      <w:pPr/>
      <w:r>
        <w:rPr>
          <w:rFonts w:ascii="Helvetica Light" w:hAnsi="Helvetica Light" w:cs="Helvetica Light"/>
          <w:sz w:val="24"/>
          <w:sz-cs w:val="24"/>
        </w:rPr>
        <w:t xml:space="preserve">* Institutional &amp; Mixed-Use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Service Type* Marketing &amp; Leasing</w:t>
      </w:r>
    </w:p>
    <w:p>
      <w:pPr/>
      <w:r>
        <w:rPr>
          <w:rFonts w:ascii="Helvetica Light" w:hAnsi="Helvetica Light" w:cs="Helvetica Light"/>
          <w:sz w:val="24"/>
          <w:sz-cs w:val="24"/>
        </w:rPr>
        <w:t xml:space="preserve">* Property Evaluation &amp; Due Diligence</w:t>
      </w:r>
    </w:p>
    <w:p>
      <w:pPr/>
      <w:r>
        <w:rPr>
          <w:rFonts w:ascii="Helvetica Light" w:hAnsi="Helvetica Light" w:cs="Helvetica Light"/>
          <w:sz w:val="24"/>
          <w:sz-cs w:val="24"/>
        </w:rPr>
        <w:t xml:space="preserve">* Tenant &amp; Resident Services (Renting, Leasing, etc.)​</w:t>
      </w:r>
    </w:p>
    <w:p>
      <w:pPr/>
      <w:r>
        <w:rPr>
          <w:rFonts w:ascii="Helvetica Light" w:hAnsi="Helvetica Light" w:cs="Helvetica Light"/>
          <w:sz w:val="24"/>
          <w:sz-cs w:val="24"/>
        </w:rPr>
        <w:t xml:space="preserve">* Lease Administration &amp; Compliance</w:t>
      </w:r>
    </w:p>
    <w:p>
      <w:pPr/>
      <w:r>
        <w:rPr>
          <w:rFonts w:ascii="Helvetica Light" w:hAnsi="Helvetica Light" w:cs="Helvetica Light"/>
          <w:sz w:val="24"/>
          <w:sz-cs w:val="24"/>
        </w:rPr>
        <w:t xml:space="preserve">* Other Services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Geography* Northeast</w:t>
      </w:r>
    </w:p>
    <w:p>
      <w:pPr/>
      <w:r>
        <w:rPr>
          <w:rFonts w:ascii="Helvetica Light" w:hAnsi="Helvetica Light" w:cs="Helvetica Light"/>
          <w:sz w:val="24"/>
          <w:sz-cs w:val="24"/>
        </w:rPr>
        <w:t xml:space="preserve">* Midwest</w:t>
      </w:r>
    </w:p>
    <w:p>
      <w:pPr/>
      <w:r>
        <w:rPr>
          <w:rFonts w:ascii="Helvetica Light" w:hAnsi="Helvetica Light" w:cs="Helvetica Light"/>
          <w:sz w:val="24"/>
          <w:sz-cs w:val="24"/>
        </w:rPr>
        <w:t xml:space="preserve">* Southeast</w:t>
      </w:r>
    </w:p>
    <w:p>
      <w:pPr/>
      <w:r>
        <w:rPr>
          <w:rFonts w:ascii="Helvetica Light" w:hAnsi="Helvetica Light" w:cs="Helvetica Light"/>
          <w:sz w:val="24"/>
          <w:sz-cs w:val="24"/>
        </w:rPr>
        <w:t xml:space="preserve">* West</w:t>
      </w:r>
    </w:p>
    <w:p>
      <w:pPr/>
      <w:r>
        <w:rPr>
          <w:rFonts w:ascii="Helvetica Light" w:hAnsi="Helvetica Light" w:cs="Helvetica Light"/>
          <w:sz w:val="24"/>
          <w:sz-cs w:val="24"/>
        </w:rPr>
        <w:t xml:space="preserve">* Southwest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Frequently Asked Questions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was the US property management services market size in 2026?</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It reached USD 88.03 billion, with a 3.9% CAGR forecast through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property type led revenue in 2025?</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Residential assets held the top position with 49.35% market share.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service category is expanding the quickest?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Compliance, legal, and renewal services are projected to grow at 4.6% CAGR to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Why is California so important to property managers?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High property values, strict ESG mandates, and extensive tenant-protection laws support premium fee opportunities.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How are interest rates affecting the sector?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Higher borrowing costs have delayed property sales, reducing onboarding and development-management fees in the short term.</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role does technology play in market growth?</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AI-enabled leasing, predictive maintenance, and smart-home integrations enhance efficiency and tenant experience, supporting margin expansion.</w:t>
      </w:r>
    </w:p>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CocoaOOXMLWriter/2113.65</generator>
</meta>
</file>