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Vertical Farming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Indoor Farming &amp; Farm Mechanization (Agriculture &amp; Agribusiness)  </w:t>
      </w:r>
    </w:p>
    <w:p>
      <w:pPr/>
      <w:r>
        <w:rPr>
          <w:rFonts w:ascii="Helvetica Light" w:hAnsi="Helvetica Light" w:cs="Helvetica Light"/>
          <w:sz w:val="24"/>
          <w:sz-cs w:val="24"/>
        </w:rPr>
        <w:t xml:space="preserve">&gt; **Source:** [https://www.mordorintelligence.com/industry-reports/vertical-farming-market](https://www.mordorintelligence.com/industry-reports/vertical-farming-market)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7.53 billion |</w:t>
      </w:r>
    </w:p>
    <w:p>
      <w:pPr/>
      <w:r>
        <w:rPr>
          <w:rFonts w:ascii="Helvetica Light" w:hAnsi="Helvetica Light" w:cs="Helvetica Light"/>
          <w:sz w:val="24"/>
          <w:sz-cs w:val="24"/>
        </w:rPr>
        <w:t xml:space="preserve">| **Projected Forecast (2031)** | USD 7.53 billion |</w:t>
      </w:r>
    </w:p>
    <w:p>
      <w:pPr/>
      <w:r>
        <w:rPr>
          <w:rFonts w:ascii="Helvetica Light" w:hAnsi="Helvetica Light" w:cs="Helvetica Light"/>
          <w:sz w:val="24"/>
          <w:sz-cs w:val="24"/>
        </w:rPr>
        <w:t xml:space="preserve">| **Growth Rate (CAGR)** | 9.98 %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Vertical Farming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![Vertical Farming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![Vertical Farming Market: Market Share by Growing Mechanism](images/chart_4.png)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![Vertical Farming Market: Market Share by Crop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![Vertical Farming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![Vertical Farming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7.53 Billion | </w:t>
      </w:r>
    </w:p>
    <w:p>
      <w:pPr/>
      <w:r>
        <w:rPr>
          <w:rFonts w:ascii="Helvetica Light" w:hAnsi="Helvetica Light" w:cs="Helvetica Light"/>
          <w:sz w:val="24"/>
          <w:sz-cs w:val="24"/>
        </w:rPr>
        <w:t xml:space="preserve">Market Size (2031) | USD 12.11 Billion | </w:t>
      </w:r>
    </w:p>
    <w:p>
      <w:pPr/>
      <w:r>
        <w:rPr>
          <w:rFonts w:ascii="Helvetica Light" w:hAnsi="Helvetica Light" w:cs="Helvetica Light"/>
          <w:sz w:val="24"/>
          <w:sz-cs w:val="24"/>
        </w:rPr>
        <w:t xml:space="preserve">Growth Rate (2026 - 2031) | 9.98 %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Vertical Farming Market Analysis by Mordor IntelligenceThe vertical farming market size was valued at USD 6.27 billion in 2025 and estimated to grow from USD 7.53 billion in 2026 to reach USD 12.11 billion by 2031, at a CAGR of 9.98% during the forecast period (2026-2031). The vertical farming market is moving deeper into controlled-environment food production as climate volatility, urban food safety expectations, and maturing light-emitting diode (LED) and robotics systems reshape commercial growing models. The vertical farming market is also benefiting from a shift in public food security policy, especially in Asia-Pacific and the Middle East, where indoor farming is increasingly treated as a resilience asset rather than a discretionary agriculture technology project. The vertical farming market has become more selective following the closures and restructurings in 2024 and 2025, pushing capital toward operators with retailer links, institutional backing, and greater control over operating economics. The vertical farming market is now being assessed less by headline expansion and more by unit profitability, energy efficiency, and the ability to combine crop revenue with environmental, social, and governance (ESG) premiums, carbon-accounting benefits, and public co-investment support. The vertical farming market, therefore, enters 2026 with a different operating base than the earlier venture-led cycle, with scale still important but disciplined deployment and supply certainty carrying more weight.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growing mechanism, hydroponics held 56.7% of the vertical farming market share in 2025, while aeroponics is projected to be the fastest-growing segment, with a 13.1% CAGR during 2026-2031.</w:t>
      </w:r>
    </w:p>
    <w:p>
      <w:pPr/>
      <w:r>
        <w:rPr>
          <w:rFonts w:ascii="Helvetica Light" w:hAnsi="Helvetica Light" w:cs="Helvetica Light"/>
          <w:sz w:val="24"/>
          <w:sz-cs w:val="24"/>
        </w:rPr>
        <w:t xml:space="preserve">* By farm structure, building-based farms accounted for 72.4% of the vertical farming market in 2025, while shipping-container-based farms are the fastest-growing segment, anticipated to grow at a 12.3% CAGR during 2026-2031.</w:t>
      </w:r>
    </w:p>
    <w:p>
      <w:pPr/>
      <w:r>
        <w:rPr>
          <w:rFonts w:ascii="Helvetica Light" w:hAnsi="Helvetica Light" w:cs="Helvetica Light"/>
          <w:sz w:val="24"/>
          <w:sz-cs w:val="24"/>
        </w:rPr>
        <w:t xml:space="preserve">* By component, lighting systems captured 34.3% of the vertical farming market in 2025, while software and control platforms are the fastest-growing segment, with a projected CAGR of 13.8% during 2026-2031.</w:t>
      </w:r>
    </w:p>
    <w:p>
      <w:pPr/>
      <w:r>
        <w:rPr>
          <w:rFonts w:ascii="Helvetica Light" w:hAnsi="Helvetica Light" w:cs="Helvetica Light"/>
          <w:sz w:val="24"/>
          <w:sz-cs w:val="24"/>
        </w:rPr>
        <w:t xml:space="preserve">* By crop type, lettuce and leafy greens led with a 36.1% share in 2025, while microgreens will be the fastest-growing segment, posting a 13.3% CAGR during 2026-2031.</w:t>
      </w:r>
    </w:p>
    <w:p>
      <w:pPr/>
      <w:r>
        <w:rPr>
          <w:rFonts w:ascii="Helvetica Light" w:hAnsi="Helvetica Light" w:cs="Helvetica Light"/>
          <w:sz w:val="24"/>
          <w:sz-cs w:val="24"/>
        </w:rPr>
        <w:t xml:space="preserve">* By geography, North America accounted for 41.8% of revenue in 2025, while Asia-Pacific is anticipated to be the fastest-growing region with a 12.8%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Vertical Farming Market*Driver | (~) % Impact on CAGR Forecast | Geographic Relevance | Impact Timeline | </w:t>
      </w:r>
    </w:p>
    <w:p>
      <w:pPr/>
      <w:r>
        <w:rPr>
          <w:rFonts w:ascii="Helvetica Light" w:hAnsi="Helvetica Light" w:cs="Helvetica Light"/>
          <w:sz w:val="24"/>
          <w:sz-cs w:val="24"/>
        </w:rPr>
        <w:t xml:space="preserve">Urban Demand for Local Pesticide-Free Produce | +2.50% | Global, with highest intensity in North America, Japan, Singapore, and United Arab Emirates | Medium term (2-4 years) | </w:t>
      </w:r>
    </w:p>
    <w:p>
      <w:pPr/>
      <w:r>
        <w:rPr>
          <w:rFonts w:ascii="Helvetica Light" w:hAnsi="Helvetica Light" w:cs="Helvetica Light"/>
          <w:sz w:val="24"/>
          <w:sz-cs w:val="24"/>
        </w:rPr>
        <w:t xml:space="preserve">Falling LED, Robotics, and Sensing Costs | +2.20% | Global, with strongest absorption in North America, the Netherlands, Japan, and China | Long term (≥ 4 years) | </w:t>
      </w:r>
    </w:p>
    <w:p>
      <w:pPr/>
      <w:r>
        <w:rPr>
          <w:rFonts w:ascii="Helvetica Light" w:hAnsi="Helvetica Light" w:cs="Helvetica Light"/>
          <w:sz w:val="24"/>
          <w:sz-cs w:val="24"/>
        </w:rPr>
        <w:t xml:space="preserve">Climate-Resilient Year-Round Production | +1.80% | Global, with acute relevance in the Middle East, Southeast Asia, and coastal United States supply chains | Medium term (2-4 years) | </w:t>
      </w:r>
    </w:p>
    <w:p>
      <w:pPr/>
      <w:r>
        <w:rPr>
          <w:rFonts w:ascii="Helvetica Light" w:hAnsi="Helvetica Light" w:cs="Helvetica Light"/>
          <w:sz w:val="24"/>
          <w:sz-cs w:val="24"/>
        </w:rPr>
        <w:t xml:space="preserve">Government Food-Security Incentives and Ag-Tech Funding | +1.50% | Asia-Pacific, the Middle East, and North America | Short term (≤ 2 years) | </w:t>
      </w:r>
    </w:p>
    <w:p>
      <w:pPr/>
      <w:r>
        <w:rPr>
          <w:rFonts w:ascii="Helvetica Light" w:hAnsi="Helvetica Light" w:cs="Helvetica Light"/>
          <w:sz w:val="24"/>
          <w:sz-cs w:val="24"/>
        </w:rPr>
        <w:t xml:space="preserve">Carbon-Credit and ESG Premium Revenue Stacking | +0.90% | North America and Europe, with early signals in Asia-Pacific | Long term (≥ 4 years) | </w:t>
      </w:r>
    </w:p>
    <w:p>
      <w:pPr/>
      <w:r>
        <w:rPr>
          <w:rFonts w:ascii="Helvetica Light" w:hAnsi="Helvetica Light" w:cs="Helvetica Light"/>
          <w:sz w:val="24"/>
          <w:sz-cs w:val="24"/>
        </w:rPr>
        <w:t xml:space="preserve">Waste-Heat and Low-Cost Power Co-Location Economics | +0.70% | North America, the Netherlands, and Japan, with emerging relevance across data-center corridors globally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vertical farming market is highly fragmented, comprising crop producers, technology suppliers, and hybrid platforms that integrate farm operations with technology licensing. Prominent crop production companies in North America include 80 Acres Farms Inc. and Gotham Greens Holdings LLC, while companies such as Signify N.V., ams-OSRAM AG, and Intelligent Growth Solutions Limited focus on enabling systems. Consequently, the vertical farming market does not function as a single-format produce category, as competition spans crop output, equipment sales, software control, environmental systems, and project development. This creates a diverse and uneven competitive landscape where operational efficiency and commercial sustainability are more critical than valuation alone.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current strategic focus in the vertical farming market emphasizes disciplined expansion, adaptable infrastructure, and stronger downstream partnerships. In July 2025, Canadian vertical farming company Growcer acquired the assets of Freight Farms after the U.S.-based container farming pioneer filed for Chapter 7 bankruptcy earlier that year. The acquisition included Freight Farms’ software platform, intellectual property, customer network, and inventory spanning over 500 global farm locations, highlighting the ongoing consolidation within controlled-environment agriculture. Additionally, technology optimization is gaining prominence over aggressive footprint expansion. In 2026, Signify N.V. advanced its Philips GreenPower horticultural lighting systems, prioritizing energy efficiency and spectrum optimization for leafy-green production. Such trends indicate that the vertical farming market increasingly values operational discipline, energy efficiency, and scalable deployment models over rapid, unchecked growth strategies.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Smaller and mid-sized operators still have opportunities in the vertical farming market, though the landscape has become more challenging compared to earlier investment cycles. Smaller and mid-sized operators continue to find opportunities in the vertical farming market, though these opportunities have become more limited following several high-profile restructurings. Jones Food Company, previously one of the largest vertical farming operators in the United Kingdom, entered administration in April 2025 due to high operating costs and challenges in achieving long-term profitability, despite significant investment from Ocado Group. Such trends indicate while the vertical farming market remains accessible to new entrants, factors such as financial stability, energy efficiency, and strong buyer relationships are increasingly critical for sustaining viable commercial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Vertical Farming Industry Leaders* 80 Acres Farms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Gotham Greens Holdings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Local Bounti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Signify N.V.,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ams-OSRAM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defines the vertical farming market as all revenue generated from crops grown in vertically stacked layers inside controlled-environment facilities that rely on soil-less techniques such as hydroponics, aeroponics, and aquaponics, together with the associated lighting, climate, nutrient, and sensing systems that enable year-round production.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outdoor greenhouses, rooftop poly-houses, and traditional soil-based indoor farms are not considered.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Growing Mechanism* Hydroponics</w:t>
      </w:r>
    </w:p>
    <w:p>
      <w:pPr/>
      <w:r>
        <w:rPr>
          <w:rFonts w:ascii="Helvetica Light" w:hAnsi="Helvetica Light" w:cs="Helvetica Light"/>
          <w:sz w:val="24"/>
          <w:sz-cs w:val="24"/>
        </w:rPr>
        <w:t xml:space="preserve">* Aeroponics</w:t>
      </w:r>
    </w:p>
    <w:p>
      <w:pPr/>
      <w:r>
        <w:rPr>
          <w:rFonts w:ascii="Helvetica Light" w:hAnsi="Helvetica Light" w:cs="Helvetica Light"/>
          <w:sz w:val="24"/>
          <w:sz-cs w:val="24"/>
        </w:rPr>
        <w:t xml:space="preserve">* Aquaponics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Farm Structure* Building-based Vertical Farms</w:t>
      </w:r>
    </w:p>
    <w:p>
      <w:pPr/>
      <w:r>
        <w:rPr>
          <w:rFonts w:ascii="Helvetica Light" w:hAnsi="Helvetica Light" w:cs="Helvetica Light"/>
          <w:sz w:val="24"/>
          <w:sz-cs w:val="24"/>
        </w:rPr>
        <w:t xml:space="preserve">* Shipping-container-based Vertical Farms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Component* Lighting Systems</w:t>
      </w:r>
    </w:p>
    <w:p>
      <w:pPr/>
      <w:r>
        <w:rPr>
          <w:rFonts w:ascii="Helvetica Light" w:hAnsi="Helvetica Light" w:cs="Helvetica Light"/>
          <w:sz w:val="24"/>
          <w:sz-cs w:val="24"/>
        </w:rPr>
        <w:t xml:space="preserve">* Climate Control Systems</w:t>
      </w:r>
    </w:p>
    <w:p>
      <w:pPr/>
      <w:r>
        <w:rPr>
          <w:rFonts w:ascii="Helvetica Light" w:hAnsi="Helvetica Light" w:cs="Helvetica Light"/>
          <w:sz w:val="24"/>
          <w:sz-cs w:val="24"/>
        </w:rPr>
        <w:t xml:space="preserve">* Sensors and Monitoring Devices</w:t>
      </w:r>
    </w:p>
    <w:p>
      <w:pPr/>
      <w:r>
        <w:rPr>
          <w:rFonts w:ascii="Helvetica Light" w:hAnsi="Helvetica Light" w:cs="Helvetica Light"/>
          <w:sz w:val="24"/>
          <w:sz-cs w:val="24"/>
        </w:rPr>
        <w:t xml:space="preserve">* Irrigation and Fertigation Systems</w:t>
      </w:r>
    </w:p>
    <w:p>
      <w:pPr/>
      <w:r>
        <w:rPr>
          <w:rFonts w:ascii="Helvetica Light" w:hAnsi="Helvetica Light" w:cs="Helvetica Light"/>
          <w:sz w:val="24"/>
          <w:sz-cs w:val="24"/>
        </w:rPr>
        <w:t xml:space="preserve">* Software and Control Platforms</w:t>
      </w:r>
    </w:p>
    <w:p>
      <w:pPr/>
      <w:r>
        <w:rPr>
          <w:rFonts w:ascii="Helvetica Light" w:hAnsi="Helvetica Light" w:cs="Helvetica Light"/>
          <w:sz w:val="24"/>
          <w:sz-cs w:val="24"/>
        </w:rPr>
        <w:t xml:space="preserve">* Farm Structure Materials and Growing Racks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Crop Type* Lettuce and Leafy Greens</w:t>
      </w:r>
    </w:p>
    <w:p>
      <w:pPr/>
      <w:r>
        <w:rPr>
          <w:rFonts w:ascii="Helvetica Light" w:hAnsi="Helvetica Light" w:cs="Helvetica Light"/>
          <w:sz w:val="24"/>
          <w:sz-cs w:val="24"/>
        </w:rPr>
        <w:t xml:space="preserve">* Herbs</w:t>
      </w:r>
    </w:p>
    <w:p>
      <w:pPr/>
      <w:r>
        <w:rPr>
          <w:rFonts w:ascii="Helvetica Light" w:hAnsi="Helvetica Light" w:cs="Helvetica Light"/>
          <w:sz w:val="24"/>
          <w:sz-cs w:val="24"/>
        </w:rPr>
        <w:t xml:space="preserve">* Tomatoes</w:t>
      </w:r>
    </w:p>
    <w:p>
      <w:pPr/>
      <w:r>
        <w:rPr>
          <w:rFonts w:ascii="Helvetica Light" w:hAnsi="Helvetica Light" w:cs="Helvetica Light"/>
          <w:sz w:val="24"/>
          <w:sz-cs w:val="24"/>
        </w:rPr>
        <w:t xml:space="preserve">* Berries</w:t>
      </w:r>
    </w:p>
    <w:p>
      <w:pPr/>
      <w:r>
        <w:rPr>
          <w:rFonts w:ascii="Helvetica Light" w:hAnsi="Helvetica Light" w:cs="Helvetica Light"/>
          <w:sz w:val="24"/>
          <w:sz-cs w:val="24"/>
        </w:rPr>
        <w:t xml:space="preserve">* Cucumbers</w:t>
      </w:r>
    </w:p>
    <w:p>
      <w:pPr/>
      <w:r>
        <w:rPr>
          <w:rFonts w:ascii="Helvetica Light" w:hAnsi="Helvetica Light" w:cs="Helvetica Light"/>
          <w:sz w:val="24"/>
          <w:sz-cs w:val="24"/>
        </w:rPr>
        <w:t xml:space="preserve">* Peppers</w:t>
      </w:r>
    </w:p>
    <w:p>
      <w:pPr/>
      <w:r>
        <w:rPr>
          <w:rFonts w:ascii="Helvetica Light" w:hAnsi="Helvetica Light" w:cs="Helvetica Light"/>
          <w:sz w:val="24"/>
          <w:sz-cs w:val="24"/>
        </w:rPr>
        <w:t xml:space="preserve">* Microgreens</w:t>
      </w:r>
    </w:p>
    <w:p>
      <w:pPr/>
      <w:r>
        <w:rPr>
          <w:rFonts w:ascii="Helvetica Light" w:hAnsi="Helvetica Light" w:cs="Helvetica Light"/>
          <w:sz w:val="24"/>
          <w:sz-cs w:val="24"/>
        </w:rPr>
        <w:t xml:space="preserve">* Other Crops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Israel</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Kenya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vertical farming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vertical farming market is forecast to reach USD 12.11 billion by 2031, rising from USD 7.53 billion in 2026 at a 9.98%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growing mechanism holds the largest share in vertical farming?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Hydroponics was the largest segment, accounting for 56.7% of total value in 2025 because of its long commercial track record and broad crop compatibility.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farm format is expanding the fastest in vertical farming?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Shipping-container-based farms are the fastest structure, with a projected 12.3% CAGR during 2026-2031 due to their flexible and rapid deployment model.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crop category is growing the fastest in vertical farming?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Microgreens are the fastest crop type, with a projected 13.3% CAGR during 2026-2031, supported by short harvest cycles and strong premium food-service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vertical farming today and which one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was the largest region with 41.8% share in 2025, while Asia-Pacific is the fastest region with a projected 12.8%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barrier to profitability in vertical farming?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electricity use and capital intensity remain the main barrier, since lighting, cooling, and dehumidification create a heavy operating cost base in enclosed farms.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