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Women's Non-Athletic Footwear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Apparel, Footwear &amp; Accessories (Consumer Goods &amp; Services)  </w:t>
      </w:r>
    </w:p>
    <w:p>
      <w:pPr/>
      <w:r>
        <w:rPr>
          <w:rFonts w:ascii="Helvetica Light" w:hAnsi="Helvetica Light" w:cs="Helvetica Light"/>
          <w:sz w:val="24"/>
          <w:sz-cs w:val="24"/>
        </w:rPr>
        <w:t xml:space="preserve">&gt; **Source:** [https://www.mordorintelligence.com/industry-reports/womens-non-athletic-footwear-market](https://www.mordorintelligence.com/industry-reports/womens-non-athletic-footwear-market)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139.28 billion |</w:t>
      </w:r>
    </w:p>
    <w:p>
      <w:pPr/>
      <w:r>
        <w:rPr>
          <w:rFonts w:ascii="Helvetica Light" w:hAnsi="Helvetica Light" w:cs="Helvetica Light"/>
          <w:sz w:val="24"/>
          <w:sz-cs w:val="24"/>
        </w:rPr>
        <w:t xml:space="preserve">| **Projected Forecast (2031)** | USD 139.28 billion |</w:t>
      </w:r>
    </w:p>
    <w:p>
      <w:pPr/>
      <w:r>
        <w:rPr>
          <w:rFonts w:ascii="Helvetica Light" w:hAnsi="Helvetica Light" w:cs="Helvetica Light"/>
          <w:sz w:val="24"/>
          <w:sz-cs w:val="24"/>
        </w:rPr>
        <w:t xml:space="preserve">| **Growth Rate (CAGR)** | 3.66 %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Women](images/chart_2.png)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![Women&amp;#39;s Non-athletic Footwear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![Women&amp;#39;s Non-athletic Footwear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![Women&amp;#39;s Non-athletic Footwear Market: Market Share by Material](images/chart_5.png)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![Women&amp;#39;s Non-athletic Footwear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![Women&amp;#39;s Non-athletic Footwear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139.28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166.72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3.66 %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Women's Non-athletic Footwear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women non athletic footwear market size is expected to grow from USD 137.72 billion in 2025 to USD 139.28 billion in 2026 and reach USD 166.72 billion by 2031, growing at a CAGR of 3.66% over 2026-2031. AI-guided fitting engines, premiumization, and circular-economy channels are reshaping competitive economics while offline stores continue to anchor sell-through. Rapid fast-fashion refresh cycles shorten design lead-times to 21 days, letting brands test micro-trends at low markdown risk. AI sizing tools embedded in kiosks, smartphones, and e-commerce checkout flows cut average return rates for boots by 28% and shift margin pools toward data-rich direct sellers. Post-pandemic occasion-wear demand has revived heels and pumps, particularly in Asia-Pacific financial hubs, while vegan leather advances narrow the cost-performance gap with bovine hides. Extended Producer Responsibility (EPR) fees in Europe and volatile Brazilian leather prices add asymmetric cost pressures that favor vertically integrated giants able to hedge sourcing and amortize compliance.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 boots and shoes led with 44.26% of the women non athletic footwear market share in 2025, while heels and pumps are projected to expand at a 5.61%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the mass segment accounted for 85.52% of the 2025 value; the premium segment is advancing at 5.48%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leather retained 40.05% share of the women non athletic footwear market size in 2025, yet synthetic alternatives are rising at 5.47%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offline retail controlled 85.95% of 2025 sales, and online is set to advance at a 5.96%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captured 48.18% revenue in 2025, whereas the Middle East and Africa is forecast to grow at a 5.02%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Women's Non-athletic Footwear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Rapid Fast-Fashion SKU Refresh Cycles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in Europe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AI-Powered Direct-To-Consumer Sizing Precision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urban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Recovery In Post-Pandemic Occasion Wear Demand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Affordable And Competitive Vegan Leather Alternatives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North America,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Luxury Resale And Pre-Owned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Female Workforce Participation In Emerging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women's non-athletic footwear sector exhibits moderate fragmentation, reflecting a highly competitive landscape. Luxury titans LVMH, Kering, and Prada, known for their high gross margins achieved through curated distribution and compelling narratives, faced a revenue dip in late 2024 due to a slowdown in Chinese outbound tourism. However, Prada rebounded with a 17% retail growth in H1 2024, bolstered by new store openings in Dubai and Seoul, which are key markets for luxury retail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Mass-market leaders Skechers and Steve Madden harness vertical integration and adaptive sourcing strategies to maintain their competitive edge. Skechers not only boosted sales by 15.9% in Q3 2024 but also inaugurated 75 new stores, with a notable 60% in emerging markets, reflecting its focus on tapping into high-growth regions. Meanwhile, Steve Madden is strategically reducing its Chinese sourcing to 30% to mitigate tariff risks, shifting focus to Cambodia, Vietnam, and Mexico, which offer cost advantages and diversified supply chain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innovators Rothy’s and Allbirds prioritize recycled materials and sustainable designs, aligning with the growing consumer demand for eco-friendly products. However, Allbirds faced a revenue downturn in 2024, leading to store closures, highlighting the challenges of scaling sustainability-focused business models. Fast-fashion behemoths, with their six-week product cycles, are shortening product life spans and pressuring wholesalers, creating a fast-paced and cost-sensitive environment. Brands integrating technologies like 3-D scanning, virtual try-ons, and blockchain authentication are reaping rewards, gaining insights that reduce returns, optimize inventory management, and enhance customer lifetime value in the fiercely competitive women's non-athletic footwear arena.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Women's Non-athletic Footwear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Prada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Bata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LVMH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Capri Holding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Chanel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Women's Non-athletic Footwear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women's non-athletic footwear products are worn on their feet for protection and fashion by women. The global women's non-athletic footwear market is segmented by type, distribution channel, category, and geography. By type, the market is segmented into boots and shoes, heels and pumps, flats, sandals, and other footwear types. By distribution channel, the market is segmented into online and offline. By category, the market is segmented into mass and premium. By geography, the global women's non-athletic footwear market is segmented into North America, Europe, Asia-Pacific, South America, and Middle-East and Africa. For each segment, the market sizing and forecasting have been done in value terms (USD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Boots and Shoes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Heels and Pumps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Flats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Sandals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Types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Category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Mass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Material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Leather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Synthetic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Textile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Materials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Offline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Malaysia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the women non athletic footwear market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reach USD 166.72 billion by 2031 at a 3.66%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Heels and pumps are forecast to grow at a 5.61% CAGR as occasion-wear recovers and office mandates tighten.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the quickest-growing?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is set to expand at 5.02% CAGR, supported by Saudi Vision 2030 retail build-out and rising female employment.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vegan leather alternatives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Bio-fabricated sheets now match 92% of leather strength at lower cost and carbon intensity, prompting rapid brand adoption.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